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tabs>
          <w:tab w:val="left" w:pos="420"/>
        </w:tabs>
        <w:autoSpaceDE/>
        <w:autoSpaceDN/>
        <w:adjustRightInd/>
        <w:spacing w:before="100" w:after="100" w:line="360" w:lineRule="auto"/>
        <w:jc w:val="lef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通用技术要求</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本标段所有设备均由乙方负责细化设计、加工制造、控制集成、安装调试等，具备交</w:t>
      </w:r>
      <w:r>
        <w:rPr>
          <w:rFonts w:hint="eastAsia" w:ascii="宋体" w:hAnsi="宋体" w:cs="宋体"/>
          <w:color w:val="000000" w:themeColor="text1"/>
          <w:szCs w:val="21"/>
          <w:lang w:val="en-US" w:eastAsia="zh-CN"/>
          <w14:textFill>
            <w14:solidFill>
              <w14:schemeClr w14:val="tx1"/>
            </w14:solidFill>
          </w14:textFill>
        </w:rPr>
        <w:t>付</w:t>
      </w:r>
      <w:r>
        <w:rPr>
          <w:rFonts w:hint="eastAsia" w:ascii="宋体" w:hAnsi="宋体" w:cs="宋体"/>
          <w:color w:val="000000" w:themeColor="text1"/>
          <w:szCs w:val="21"/>
          <w14:textFill>
            <w14:solidFill>
              <w14:schemeClr w14:val="tx1"/>
            </w14:solidFill>
          </w14:textFill>
        </w:rPr>
        <w:t>条件。</w:t>
      </w:r>
    </w:p>
    <w:p>
      <w:pPr>
        <w:keepNext/>
        <w:keepLines/>
        <w:numPr>
          <w:ilvl w:val="1"/>
          <w:numId w:val="1"/>
        </w:numPr>
        <w:tabs>
          <w:tab w:val="left" w:pos="420"/>
        </w:tabs>
        <w:spacing w:before="100" w:after="100" w:line="360" w:lineRule="auto"/>
        <w:jc w:val="left"/>
        <w:outlineLvl w:val="1"/>
        <w:rPr>
          <w:rFonts w:ascii="宋体" w:hAnsi="宋体" w:cs="宋体"/>
          <w:b/>
          <w:color w:val="000000" w:themeColor="text1"/>
          <w:kern w:val="0"/>
          <w:szCs w:val="21"/>
          <w14:textFill>
            <w14:solidFill>
              <w14:schemeClr w14:val="tx1"/>
            </w14:solidFill>
          </w14:textFill>
        </w:rPr>
      </w:pPr>
      <w:bookmarkStart w:id="0" w:name="_Toc505073911"/>
      <w:bookmarkStart w:id="1" w:name="_Toc18561"/>
      <w:bookmarkStart w:id="2" w:name="_Toc40818045"/>
      <w:bookmarkStart w:id="3" w:name="_Toc27673"/>
      <w:bookmarkStart w:id="4" w:name="_Toc21927"/>
      <w:bookmarkStart w:id="5" w:name="_Toc19661"/>
      <w:bookmarkStart w:id="6" w:name="_Toc503123271"/>
      <w:bookmarkStart w:id="7" w:name="_Toc503122130"/>
      <w:bookmarkStart w:id="8" w:name="_Toc14923"/>
      <w:bookmarkStart w:id="9" w:name="_Toc6000"/>
      <w:bookmarkStart w:id="10" w:name="_Toc518"/>
      <w:bookmarkStart w:id="11" w:name="_Toc135583084"/>
      <w:bookmarkStart w:id="12" w:name="_Toc503122551"/>
      <w:bookmarkStart w:id="13" w:name="_Toc21041"/>
      <w:r>
        <w:rPr>
          <w:rFonts w:hint="eastAsia" w:ascii="宋体" w:hAnsi="宋体" w:cs="宋体"/>
          <w:b/>
          <w:color w:val="000000" w:themeColor="text1"/>
          <w:kern w:val="0"/>
          <w:szCs w:val="21"/>
          <w14:textFill>
            <w14:solidFill>
              <w14:schemeClr w14:val="tx1"/>
            </w14:solidFill>
          </w14:textFill>
        </w:rPr>
        <w:t>设备通用要求</w:t>
      </w:r>
      <w:bookmarkEnd w:id="0"/>
      <w:bookmarkEnd w:id="1"/>
      <w:bookmarkEnd w:id="2"/>
      <w:bookmarkEnd w:id="3"/>
      <w:bookmarkEnd w:id="4"/>
      <w:bookmarkEnd w:id="5"/>
      <w:bookmarkEnd w:id="6"/>
      <w:bookmarkEnd w:id="7"/>
      <w:bookmarkEnd w:id="8"/>
      <w:bookmarkEnd w:id="9"/>
      <w:bookmarkEnd w:id="10"/>
      <w:bookmarkEnd w:id="11"/>
      <w:bookmarkEnd w:id="12"/>
      <w:bookmarkEnd w:id="13"/>
    </w:p>
    <w:p>
      <w:pPr>
        <w:numPr>
          <w:ilvl w:val="0"/>
          <w:numId w:val="2"/>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属于特种设备的，按照《中华人民共和国特种设备安全法》组织实施。</w:t>
      </w:r>
    </w:p>
    <w:p>
      <w:pPr>
        <w:numPr>
          <w:ilvl w:val="0"/>
          <w:numId w:val="2"/>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与物料接触材质选择符合食品安全的材质，</w:t>
      </w:r>
      <w:r>
        <w:rPr>
          <w:rFonts w:hint="eastAsia" w:ascii="宋体" w:hAnsi="宋体" w:cs="宋体"/>
          <w:color w:val="000000" w:themeColor="text1"/>
          <w:szCs w:val="21"/>
          <w:lang w:val="en-US" w:eastAsia="zh-CN"/>
          <w14:textFill>
            <w14:solidFill>
              <w14:schemeClr w14:val="tx1"/>
            </w14:solidFill>
          </w14:textFill>
        </w:rPr>
        <w:t>优先选用</w:t>
      </w:r>
      <w:r>
        <w:rPr>
          <w:rFonts w:hint="eastAsia" w:ascii="宋体" w:hAnsi="宋体" w:cs="宋体"/>
          <w:color w:val="000000" w:themeColor="text1"/>
          <w:szCs w:val="21"/>
          <w14:textFill>
            <w14:solidFill>
              <w14:schemeClr w14:val="tx1"/>
            </w14:solidFill>
          </w14:textFill>
        </w:rPr>
        <w:t>304不锈钢，</w:t>
      </w:r>
      <w:r>
        <w:rPr>
          <w:rFonts w:hint="eastAsia" w:ascii="宋体" w:hAnsi="宋体" w:cs="宋体"/>
          <w:color w:val="000000" w:themeColor="text1"/>
          <w:szCs w:val="21"/>
          <w:lang w:val="en-US" w:eastAsia="zh-CN"/>
          <w14:textFill>
            <w14:solidFill>
              <w14:schemeClr w14:val="tx1"/>
            </w14:solidFill>
          </w14:textFill>
        </w:rPr>
        <w:t>必须选用塑料材质时，需选择硅胶板、PE板等可与</w:t>
      </w:r>
      <w:r>
        <w:rPr>
          <w:rFonts w:hint="eastAsia"/>
        </w:rPr>
        <w:t>食品</w:t>
      </w:r>
      <w:r>
        <w:rPr>
          <w:rFonts w:hint="eastAsia"/>
          <w:lang w:val="en-US" w:eastAsia="zh-CN"/>
        </w:rPr>
        <w:t>直接</w:t>
      </w:r>
      <w:r>
        <w:rPr>
          <w:rFonts w:hint="eastAsia"/>
        </w:rPr>
        <w:t>接触</w:t>
      </w:r>
      <w:r>
        <w:rPr>
          <w:rFonts w:hint="eastAsia"/>
          <w:lang w:val="en-US" w:eastAsia="zh-CN"/>
        </w:rPr>
        <w:t>的</w:t>
      </w:r>
      <w:r>
        <w:rPr>
          <w:rFonts w:hint="eastAsia"/>
        </w:rPr>
        <w:t>材料</w:t>
      </w:r>
      <w:r>
        <w:rPr>
          <w:rFonts w:hint="eastAsia"/>
          <w:lang w:eastAsia="zh-CN"/>
        </w:rPr>
        <w:t>，</w:t>
      </w:r>
      <w:r>
        <w:rPr>
          <w:rFonts w:hint="eastAsia"/>
          <w:lang w:val="en-US" w:eastAsia="zh-CN"/>
        </w:rPr>
        <w:t>并</w:t>
      </w:r>
      <w:r>
        <w:rPr>
          <w:rFonts w:hint="eastAsia"/>
        </w:rPr>
        <w:t>提供材质</w:t>
      </w:r>
      <w:r>
        <w:rPr>
          <w:rFonts w:hint="eastAsia"/>
          <w:lang w:val="en-US" w:eastAsia="zh-CN"/>
        </w:rPr>
        <w:t>证明</w:t>
      </w:r>
      <w:r>
        <w:rPr>
          <w:rFonts w:hint="eastAsia"/>
          <w:lang w:eastAsia="zh-CN"/>
        </w:rPr>
        <w:t>。</w:t>
      </w:r>
    </w:p>
    <w:p>
      <w:pPr>
        <w:numPr>
          <w:ilvl w:val="0"/>
          <w:numId w:val="2"/>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室内设备选用耐高温皮带</w:t>
      </w:r>
      <w:r>
        <w:rPr>
          <w:rFonts w:hint="eastAsia" w:ascii="宋体" w:hAnsi="宋体" w:cs="宋体"/>
          <w:color w:val="000000" w:themeColor="text1"/>
          <w:szCs w:val="21"/>
          <w:lang w:val="en-US" w:eastAsia="zh-CN"/>
          <w14:textFill>
            <w14:solidFill>
              <w14:schemeClr w14:val="tx1"/>
            </w14:solidFill>
          </w14:textFill>
        </w:rPr>
        <w:t>的应</w:t>
      </w:r>
      <w:r>
        <w:rPr>
          <w:rFonts w:hint="eastAsia" w:ascii="宋体" w:hAnsi="宋体" w:cs="宋体"/>
          <w:color w:val="000000" w:themeColor="text1"/>
          <w:szCs w:val="21"/>
          <w14:textFill>
            <w14:solidFill>
              <w14:schemeClr w14:val="tx1"/>
            </w14:solidFill>
          </w14:textFill>
        </w:rPr>
        <w:t>无异味，高</w:t>
      </w:r>
      <w:r>
        <w:rPr>
          <w:rFonts w:hint="eastAsia" w:ascii="宋体" w:hAnsi="宋体" w:cs="宋体"/>
          <w:color w:val="000000" w:themeColor="text1"/>
          <w:szCs w:val="21"/>
          <w:lang w:val="en-US" w:eastAsia="zh-CN"/>
          <w14:textFill>
            <w14:solidFill>
              <w14:schemeClr w14:val="tx1"/>
            </w14:solidFill>
          </w14:textFill>
        </w:rPr>
        <w:t>热</w:t>
      </w:r>
      <w:r>
        <w:rPr>
          <w:rFonts w:hint="eastAsia" w:ascii="宋体" w:hAnsi="宋体" w:cs="宋体"/>
          <w:color w:val="000000" w:themeColor="text1"/>
          <w:szCs w:val="21"/>
          <w14:textFill>
            <w14:solidFill>
              <w14:schemeClr w14:val="tx1"/>
            </w14:solidFill>
          </w14:textFill>
        </w:rPr>
        <w:t>区域</w:t>
      </w:r>
      <w:r>
        <w:rPr>
          <w:rFonts w:hint="eastAsia" w:ascii="宋体" w:hAnsi="宋体" w:cs="宋体"/>
          <w:color w:val="000000" w:themeColor="text1"/>
          <w:szCs w:val="21"/>
          <w:lang w:val="en-US" w:eastAsia="zh-CN"/>
          <w14:textFill>
            <w14:solidFill>
              <w14:schemeClr w14:val="tx1"/>
            </w14:solidFill>
          </w14:textFill>
        </w:rPr>
        <w:t>设备设计温度不低于100°C（直接通蒸汽的按相关要求执行）</w:t>
      </w:r>
      <w:r>
        <w:rPr>
          <w:rFonts w:hint="eastAsia" w:ascii="宋体" w:hAnsi="宋体" w:cs="宋体"/>
          <w:color w:val="000000" w:themeColor="text1"/>
          <w:szCs w:val="21"/>
          <w14:textFill>
            <w14:solidFill>
              <w14:schemeClr w14:val="tx1"/>
            </w14:solidFill>
          </w14:textFill>
        </w:rPr>
        <w:t>。</w:t>
      </w:r>
    </w:p>
    <w:p>
      <w:pPr>
        <w:numPr>
          <w:ilvl w:val="0"/>
          <w:numId w:val="2"/>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轴承润滑采用食品级润滑</w:t>
      </w:r>
      <w:r>
        <w:rPr>
          <w:rFonts w:hint="eastAsia" w:ascii="宋体" w:hAnsi="宋体" w:cs="宋体"/>
          <w:color w:val="000000" w:themeColor="text1"/>
          <w:szCs w:val="21"/>
          <w:lang w:val="en-US" w:eastAsia="zh-CN"/>
          <w14:textFill>
            <w14:solidFill>
              <w14:schemeClr w14:val="tx1"/>
            </w14:solidFill>
          </w14:textFill>
        </w:rPr>
        <w:t>脂。</w:t>
      </w:r>
    </w:p>
    <w:p>
      <w:pPr>
        <w:numPr>
          <w:ilvl w:val="0"/>
          <w:numId w:val="2"/>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锈钢采用氩弧焊接，无焊瘤、弧坑等残缺。设备框架原则上满焊，机体上的开孔圆滑，部件焊接采用对接形式，外观呈层叠鱼鳞状，焊缝表面略高于焊接基准面，焊缝部位无明显的焊接变形，焊缝宽度、余度均匀一致，</w:t>
      </w:r>
      <w:r>
        <w:rPr>
          <w:rFonts w:hint="eastAsia" w:ascii="宋体" w:hAnsi="宋体" w:cs="宋体"/>
          <w:color w:val="000000" w:themeColor="text1"/>
          <w:szCs w:val="21"/>
          <w:lang w:val="en-US" w:eastAsia="zh-CN"/>
          <w14:textFill>
            <w14:solidFill>
              <w14:schemeClr w14:val="tx1"/>
            </w14:solidFill>
          </w14:textFill>
        </w:rPr>
        <w:t>焊缝不打磨，纹理美观。</w:t>
      </w:r>
      <w:r>
        <w:rPr>
          <w:rFonts w:hint="eastAsia" w:ascii="宋体" w:hAnsi="宋体" w:cs="宋体"/>
          <w:color w:val="000000" w:themeColor="text1"/>
          <w:szCs w:val="21"/>
          <w14:textFill>
            <w14:solidFill>
              <w14:schemeClr w14:val="tx1"/>
            </w14:solidFill>
          </w14:textFill>
        </w:rPr>
        <w:t>设备线条流畅、所有棱角采用圆倒角设计，无不安全部位。</w:t>
      </w:r>
    </w:p>
    <w:p>
      <w:pPr>
        <w:numPr>
          <w:ilvl w:val="0"/>
          <w:numId w:val="2"/>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不锈钢设备制作完成后</w:t>
      </w:r>
      <w:r>
        <w:rPr>
          <w:rFonts w:hint="eastAsia" w:ascii="宋体" w:hAnsi="宋体" w:cs="宋体"/>
          <w:color w:val="000000" w:themeColor="text1"/>
          <w:szCs w:val="21"/>
          <w:lang w:val="en-US" w:eastAsia="zh-CN"/>
          <w14:textFill>
            <w14:solidFill>
              <w14:schemeClr w14:val="tx1"/>
            </w14:solidFill>
          </w14:textFill>
        </w:rPr>
        <w:t>按图纸要求进行表面处理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酸洗</w:t>
      </w:r>
      <w:r>
        <w:rPr>
          <w:rFonts w:hint="eastAsia" w:ascii="宋体" w:hAnsi="宋体" w:cs="宋体"/>
          <w:color w:val="000000" w:themeColor="text1"/>
          <w:szCs w:val="21"/>
          <w14:textFill>
            <w14:solidFill>
              <w14:schemeClr w14:val="tx1"/>
            </w14:solidFill>
          </w14:textFill>
        </w:rPr>
        <w:t>处理后表面无明显色差。碳钢件</w:t>
      </w:r>
      <w:r>
        <w:rPr>
          <w:rFonts w:hint="eastAsia" w:ascii="宋体" w:hAnsi="宋体" w:cs="宋体"/>
          <w:color w:val="000000" w:themeColor="text1"/>
          <w:szCs w:val="21"/>
          <w:lang w:val="en-US" w:eastAsia="zh-CN"/>
          <w14:textFill>
            <w14:solidFill>
              <w14:schemeClr w14:val="tx1"/>
            </w14:solidFill>
          </w14:textFill>
        </w:rPr>
        <w:t>防锈蚀按相应相关图纸要求进行</w:t>
      </w:r>
      <w:r>
        <w:rPr>
          <w:rFonts w:hint="eastAsia"/>
          <w:lang w:eastAsia="zh-CN"/>
        </w:rPr>
        <w:t>，</w:t>
      </w:r>
      <w:r>
        <w:rPr>
          <w:rFonts w:hint="eastAsia"/>
          <w:lang w:val="en-US" w:eastAsia="zh-CN"/>
        </w:rPr>
        <w:t>喷漆需满足GB/T9286-2021要求（不超过2级）。</w:t>
      </w:r>
    </w:p>
    <w:p>
      <w:pPr>
        <w:numPr>
          <w:ilvl w:val="0"/>
          <w:numId w:val="2"/>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设备传动装置（电机、减速机、传动轴、旋转轴端面、轴承、轴承座等）、旋转装置等安装活动式不锈钢防护罩，保障安全、方便清洁且不影响设备散热</w:t>
      </w:r>
      <w:r>
        <w:rPr>
          <w:rFonts w:hint="eastAsia" w:ascii="宋体" w:hAnsi="宋体" w:cs="宋体"/>
          <w:color w:val="000000" w:themeColor="text1"/>
          <w:szCs w:val="21"/>
          <w:lang w:val="en-US" w:eastAsia="zh-CN"/>
          <w14:textFill>
            <w14:solidFill>
              <w14:schemeClr w14:val="tx1"/>
            </w14:solidFill>
          </w14:textFill>
        </w:rPr>
        <w:t>。</w:t>
      </w:r>
      <w:r>
        <w:rPr>
          <w:rFonts w:hint="eastAsia"/>
          <w:lang w:val="en-US" w:eastAsia="zh-CN"/>
        </w:rPr>
        <w:t>根据设备使用情况，环境蒸汽易进入的部位（如风机等）轴承优先选用不锈钢耐防腐蚀的材质。</w:t>
      </w:r>
    </w:p>
    <w:p>
      <w:pPr>
        <w:numPr>
          <w:ilvl w:val="0"/>
          <w:numId w:val="2"/>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设备各单元之间采用装配式连接，便于拆卸和维修。</w:t>
      </w:r>
    </w:p>
    <w:p>
      <w:pPr>
        <w:numPr>
          <w:ilvl w:val="0"/>
          <w:numId w:val="2"/>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设备设计美观、坚固耐用，承重部件不变形、不开焊。</w:t>
      </w:r>
    </w:p>
    <w:p>
      <w:pPr>
        <w:numPr>
          <w:ilvl w:val="0"/>
          <w:numId w:val="2"/>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合理的物流线路，保证生产有序进行。</w:t>
      </w:r>
    </w:p>
    <w:p>
      <w:pPr>
        <w:numPr>
          <w:ilvl w:val="0"/>
          <w:numId w:val="2"/>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合理的设备维护保养空间</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应有必要的</w:t>
      </w:r>
      <w:r>
        <w:rPr>
          <w:rFonts w:hint="eastAsia" w:ascii="宋体" w:hAnsi="宋体" w:cs="宋体"/>
          <w:color w:val="000000" w:themeColor="text1"/>
          <w:szCs w:val="21"/>
          <w14:textFill>
            <w14:solidFill>
              <w14:schemeClr w14:val="tx1"/>
            </w14:solidFill>
          </w14:textFill>
        </w:rPr>
        <w:t>操作</w:t>
      </w:r>
      <w:r>
        <w:rPr>
          <w:rFonts w:hint="eastAsia" w:ascii="宋体" w:hAnsi="宋体" w:cs="宋体"/>
          <w:color w:val="000000" w:themeColor="text1"/>
          <w:szCs w:val="21"/>
          <w:lang w:val="en-US" w:eastAsia="zh-CN"/>
          <w14:textFill>
            <w14:solidFill>
              <w14:schemeClr w14:val="tx1"/>
            </w14:solidFill>
          </w14:textFill>
        </w:rPr>
        <w:t>维修清洁</w:t>
      </w:r>
      <w:r>
        <w:rPr>
          <w:rFonts w:hint="eastAsia" w:ascii="宋体" w:hAnsi="宋体" w:cs="宋体"/>
          <w:color w:val="000000" w:themeColor="text1"/>
          <w:szCs w:val="21"/>
          <w14:textFill>
            <w14:solidFill>
              <w14:schemeClr w14:val="tx1"/>
            </w14:solidFill>
          </w14:textFill>
        </w:rPr>
        <w:t>平台</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踏步、爬梯</w:t>
      </w:r>
      <w:r>
        <w:rPr>
          <w:rFonts w:hint="eastAsia" w:ascii="宋体" w:hAnsi="宋体" w:cs="宋体"/>
          <w:color w:val="000000" w:themeColor="text1"/>
          <w:szCs w:val="21"/>
          <w14:textFill>
            <w14:solidFill>
              <w14:schemeClr w14:val="tx1"/>
            </w14:solidFill>
          </w14:textFill>
        </w:rPr>
        <w:t>。</w:t>
      </w:r>
    </w:p>
    <w:p>
      <w:pPr>
        <w:numPr>
          <w:ilvl w:val="0"/>
          <w:numId w:val="2"/>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所有流体介质管道具备介质流向和介质名称标识。</w:t>
      </w:r>
    </w:p>
    <w:p>
      <w:pPr>
        <w:numPr>
          <w:ilvl w:val="0"/>
          <w:numId w:val="2"/>
        </w:numPr>
        <w:spacing w:line="360" w:lineRule="auto"/>
        <w:jc w:val="left"/>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设备工作</w:t>
      </w:r>
      <w:r>
        <w:rPr>
          <w:rFonts w:hint="eastAsia" w:ascii="宋体" w:hAnsi="宋体" w:cs="宋体"/>
          <w:color w:val="000000" w:themeColor="text1"/>
          <w:szCs w:val="21"/>
          <w:lang w:val="en-US" w:eastAsia="zh-CN"/>
          <w14:textFill>
            <w14:solidFill>
              <w14:schemeClr w14:val="tx1"/>
            </w14:solidFill>
          </w14:textFill>
        </w:rPr>
        <w:t>环境</w:t>
      </w:r>
      <w:r>
        <w:rPr>
          <w:rFonts w:hint="eastAsia" w:ascii="宋体" w:hAnsi="宋体" w:cs="宋体"/>
          <w:color w:val="000000" w:themeColor="text1"/>
          <w:szCs w:val="21"/>
          <w14:textFill>
            <w14:solidFill>
              <w14:schemeClr w14:val="tx1"/>
            </w14:solidFill>
          </w14:textFill>
        </w:rPr>
        <w:t>温度：</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sym w:font="Technic" w:char="F07E"/>
      </w:r>
      <w:r>
        <w:rPr>
          <w:rFonts w:hint="eastAsia" w:ascii="宋体" w:hAnsi="宋体" w:cs="宋体"/>
          <w:color w:val="000000" w:themeColor="text1"/>
          <w:szCs w:val="21"/>
          <w14:textFill>
            <w14:solidFill>
              <w14:schemeClr w14:val="tx1"/>
            </w14:solidFill>
          </w14:textFill>
        </w:rPr>
        <w:t>+40C°</w:t>
      </w:r>
      <w:r>
        <w:rPr>
          <w:rFonts w:hint="eastAsia" w:ascii="宋体" w:hAnsi="宋体" w:cs="宋体"/>
          <w:color w:val="000000" w:themeColor="text1"/>
          <w:szCs w:val="21"/>
          <w:lang w:eastAsia="zh-CN"/>
          <w14:textFill>
            <w14:solidFill>
              <w14:schemeClr w14:val="tx1"/>
            </w14:solidFill>
          </w14:textFill>
        </w:rPr>
        <w:t>。</w:t>
      </w:r>
    </w:p>
    <w:p>
      <w:pPr>
        <w:numPr>
          <w:ilvl w:val="0"/>
          <w:numId w:val="2"/>
        </w:numPr>
        <w:spacing w:line="360" w:lineRule="auto"/>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设备符合以下标准规范要求：</w:t>
      </w:r>
    </w:p>
    <w:p>
      <w:pPr>
        <w:numPr>
          <w:ilvl w:val="0"/>
          <w:numId w:val="3"/>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GB/T8196《机械安全防护装置固定式和活动式防护装置的设计与制造一般要求》</w:t>
      </w:r>
    </w:p>
    <w:p>
      <w:pPr>
        <w:widowControl/>
        <w:numPr>
          <w:ilvl w:val="0"/>
          <w:numId w:val="3"/>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GB/T 4237-2015  《不锈钢热轧钢板和钢带》</w:t>
      </w:r>
    </w:p>
    <w:p>
      <w:pPr>
        <w:numPr>
          <w:ilvl w:val="0"/>
          <w:numId w:val="3"/>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GB/T 3280-2015  《不锈钢冷轧钢板和钢带》</w:t>
      </w:r>
    </w:p>
    <w:p>
      <w:pPr>
        <w:numPr>
          <w:ilvl w:val="0"/>
          <w:numId w:val="3"/>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GB/T15706《机械安全设计通则风险评估与风险减小要求》</w:t>
      </w:r>
    </w:p>
    <w:p>
      <w:pPr>
        <w:numPr>
          <w:ilvl w:val="0"/>
          <w:numId w:val="3"/>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GB/T16855.1《机械安全控制系统安全要求》</w:t>
      </w:r>
    </w:p>
    <w:p>
      <w:pPr>
        <w:numPr>
          <w:ilvl w:val="0"/>
          <w:numId w:val="3"/>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GB23821《机械安全防止上下肢触及危险区的安全距离要》</w:t>
      </w:r>
    </w:p>
    <w:p>
      <w:pPr>
        <w:numPr>
          <w:ilvl w:val="0"/>
          <w:numId w:val="3"/>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GB28526《机械电气安全安全相关电气、电子和可编程电子控制系统的功能安全要求》</w:t>
      </w:r>
    </w:p>
    <w:p>
      <w:pPr>
        <w:numPr>
          <w:ilvl w:val="0"/>
          <w:numId w:val="3"/>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GB/T18831《机械安全与防护装置相关的联锁装置设计和选择原则要求》</w:t>
      </w:r>
    </w:p>
    <w:p>
      <w:pPr>
        <w:numPr>
          <w:ilvl w:val="0"/>
          <w:numId w:val="3"/>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GB/T18569.1《机械安全减小由机械排放的危害性物质对健康的风险》</w:t>
      </w:r>
    </w:p>
    <w:p>
      <w:pPr>
        <w:numPr>
          <w:ilvl w:val="0"/>
          <w:numId w:val="3"/>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GB/T18831《机械安全带防护装置的联锁装置设计和选择原则要求》</w:t>
      </w:r>
    </w:p>
    <w:p>
      <w:pPr>
        <w:numPr>
          <w:ilvl w:val="0"/>
          <w:numId w:val="3"/>
        </w:numPr>
        <w:spacing w:line="360" w:lineRule="auto"/>
        <w:jc w:val="left"/>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GB/T19876《机械安全与人体部位接近速度相关的安全防护装置的定位要求》</w:t>
      </w:r>
    </w:p>
    <w:p>
      <w:pPr>
        <w:numPr>
          <w:ilvl w:val="0"/>
          <w:numId w:val="3"/>
        </w:numPr>
        <w:spacing w:line="360" w:lineRule="auto"/>
        <w:jc w:val="left"/>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GB50236-2011 《现场设备、工业管道焊接工程施工及验收规范》</w:t>
      </w:r>
    </w:p>
    <w:p>
      <w:pPr>
        <w:numPr>
          <w:ilvl w:val="0"/>
          <w:numId w:val="3"/>
        </w:numPr>
        <w:ind w:left="420" w:leftChars="0" w:hanging="420" w:firstLineChars="0"/>
        <w:rPr>
          <w:rFonts w:hint="default" w:ascii="宋体" w:hAnsi="宋体" w:eastAsia="宋体" w:cs="宋体"/>
          <w:b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color w:val="000000" w:themeColor="text1"/>
          <w:kern w:val="2"/>
          <w:sz w:val="21"/>
          <w:szCs w:val="21"/>
          <w:lang w:val="en-US" w:eastAsia="zh-CN" w:bidi="ar-SA"/>
          <w14:textFill>
            <w14:solidFill>
              <w14:schemeClr w14:val="tx1"/>
            </w14:solidFill>
          </w14:textFill>
        </w:rPr>
        <w:t>GB50303-2002  《建筑电气工程施工质量验收规范》</w:t>
      </w:r>
    </w:p>
    <w:p>
      <w:pPr>
        <w:numPr>
          <w:ilvl w:val="0"/>
          <w:numId w:val="3"/>
        </w:numPr>
        <w:ind w:left="420" w:leftChars="0" w:hanging="420" w:firstLineChars="0"/>
        <w:rPr>
          <w:rFonts w:hint="eastAsia" w:ascii="宋体" w:hAnsi="宋体" w:eastAsia="宋体" w:cs="宋体"/>
          <w:b w:val="0"/>
          <w:bCs/>
          <w:sz w:val="21"/>
          <w:szCs w:val="21"/>
          <w:lang w:val="en-US" w:eastAsia="zh-CN"/>
        </w:rPr>
      </w:pPr>
      <w:r>
        <w:rPr>
          <w:rFonts w:hint="eastAsia" w:ascii="宋体" w:hAnsi="宋体" w:eastAsia="宋体" w:cs="宋体"/>
          <w:b w:val="0"/>
          <w:color w:val="000000" w:themeColor="text1"/>
          <w:kern w:val="2"/>
          <w:sz w:val="21"/>
          <w:szCs w:val="21"/>
          <w:lang w:val="en-US" w:eastAsia="zh-CN" w:bidi="ar-SA"/>
          <w14:textFill>
            <w14:solidFill>
              <w14:schemeClr w14:val="tx1"/>
            </w14:solidFill>
          </w14:textFill>
        </w:rPr>
        <w:t>GB50126-2008 《工业设备及管道绝热工程施工规范》</w:t>
      </w:r>
    </w:p>
    <w:p>
      <w:pPr>
        <w:keepNext/>
        <w:keepLines/>
        <w:numPr>
          <w:ilvl w:val="1"/>
          <w:numId w:val="1"/>
        </w:numPr>
        <w:tabs>
          <w:tab w:val="left" w:pos="420"/>
        </w:tabs>
        <w:spacing w:before="100" w:after="100" w:line="360" w:lineRule="auto"/>
        <w:jc w:val="left"/>
        <w:outlineLvl w:val="1"/>
        <w:rPr>
          <w:rFonts w:ascii="宋体" w:hAnsi="宋体" w:cs="宋体"/>
          <w:b/>
          <w:color w:val="000000" w:themeColor="text1"/>
          <w:kern w:val="0"/>
          <w:szCs w:val="21"/>
          <w14:textFill>
            <w14:solidFill>
              <w14:schemeClr w14:val="tx1"/>
            </w14:solidFill>
          </w14:textFill>
        </w:rPr>
      </w:pPr>
      <w:bookmarkStart w:id="14" w:name="_Toc503122131"/>
      <w:bookmarkStart w:id="15" w:name="_Toc32439"/>
      <w:bookmarkStart w:id="16" w:name="_Toc135583085"/>
      <w:bookmarkStart w:id="17" w:name="_Toc19940"/>
      <w:bookmarkStart w:id="18" w:name="_Toc24609"/>
      <w:bookmarkStart w:id="19" w:name="_Toc503122552"/>
      <w:bookmarkStart w:id="20" w:name="_Toc15097"/>
      <w:bookmarkStart w:id="21" w:name="_Toc12202"/>
      <w:bookmarkStart w:id="22" w:name="_Toc16265"/>
      <w:bookmarkStart w:id="23" w:name="_Toc505073912"/>
      <w:bookmarkStart w:id="24" w:name="_Toc40818046"/>
      <w:bookmarkStart w:id="25" w:name="_Toc503123272"/>
      <w:bookmarkStart w:id="26" w:name="_Toc14947"/>
      <w:bookmarkStart w:id="27" w:name="_Toc29578"/>
      <w:r>
        <w:rPr>
          <w:rFonts w:hint="eastAsia" w:ascii="宋体" w:hAnsi="宋体" w:cs="宋体"/>
          <w:b/>
          <w:color w:val="000000" w:themeColor="text1"/>
          <w:kern w:val="0"/>
          <w:szCs w:val="21"/>
          <w14:textFill>
            <w14:solidFill>
              <w14:schemeClr w14:val="tx1"/>
            </w14:solidFill>
          </w14:textFill>
        </w:rPr>
        <w:t>设备卫生要求</w:t>
      </w:r>
      <w:bookmarkEnd w:id="14"/>
      <w:bookmarkEnd w:id="15"/>
      <w:bookmarkEnd w:id="16"/>
      <w:bookmarkEnd w:id="17"/>
      <w:bookmarkEnd w:id="18"/>
      <w:bookmarkEnd w:id="19"/>
      <w:bookmarkEnd w:id="20"/>
      <w:bookmarkEnd w:id="21"/>
      <w:bookmarkEnd w:id="22"/>
      <w:bookmarkEnd w:id="23"/>
      <w:bookmarkEnd w:id="24"/>
      <w:bookmarkEnd w:id="25"/>
      <w:bookmarkEnd w:id="26"/>
      <w:bookmarkEnd w:id="27"/>
    </w:p>
    <w:p>
      <w:pPr>
        <w:numPr>
          <w:ilvl w:val="0"/>
          <w:numId w:val="4"/>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产品设计及制造符合GB19891 《机械安全机械设计的卫生要求》和GB16798《食品机械安全卫生要求》。</w:t>
      </w:r>
    </w:p>
    <w:p>
      <w:pPr>
        <w:numPr>
          <w:ilvl w:val="0"/>
          <w:numId w:val="4"/>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设备所采用的金属材料，采用符合食品生产卫生要求的不锈钢材料。特殊情况除外，例如减速机、电机、蒸汽阀等按要求使用对应材料。采用的非金属类材料符合食品安全卫生要求。</w:t>
      </w:r>
    </w:p>
    <w:p>
      <w:pPr>
        <w:numPr>
          <w:ilvl w:val="0"/>
          <w:numId w:val="4"/>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酒醅/粮醅接触的设备部件全部使用符合食品安全要求的304不锈钢制作，耐腐蚀不生锈主体部件全部采用304不锈钢制作，平台及平台支架采用不锈钢冲压花纹板和不锈钢方管，栏杆采用不锈钢装饰管，酿酒设备区线缆桥架、穿线管等采用不锈钢材质，防爆穿线管等采用镀锌管或防爆挠性管，管道垫片、链条侧挡板等非金属部分采用聚四氟乙烯等满足食品生产卫生要求的材质制作。</w:t>
      </w:r>
    </w:p>
    <w:p>
      <w:pPr>
        <w:numPr>
          <w:ilvl w:val="0"/>
          <w:numId w:val="4"/>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酿酒机械</w:t>
      </w:r>
      <w:r>
        <w:rPr>
          <w:rFonts w:hint="eastAsia" w:ascii="宋体" w:hAnsi="宋体" w:cs="宋体"/>
          <w:color w:val="000000" w:themeColor="text1"/>
          <w:szCs w:val="21"/>
          <w:lang w:val="en-US" w:eastAsia="zh-CN"/>
          <w14:textFill>
            <w14:solidFill>
              <w14:schemeClr w14:val="tx1"/>
            </w14:solidFill>
          </w14:textFill>
        </w:rPr>
        <w:t>润滑部位应有接油盘等</w:t>
      </w:r>
      <w:r>
        <w:rPr>
          <w:rFonts w:hint="eastAsia" w:ascii="宋体" w:hAnsi="宋体" w:cs="宋体"/>
          <w:color w:val="000000" w:themeColor="text1"/>
          <w:szCs w:val="21"/>
          <w14:textFill>
            <w14:solidFill>
              <w14:schemeClr w14:val="tx1"/>
            </w14:solidFill>
          </w14:textFill>
        </w:rPr>
        <w:t>防止润滑油、润滑脂对物料污染的措施。</w:t>
      </w:r>
    </w:p>
    <w:p>
      <w:pPr>
        <w:numPr>
          <w:ilvl w:val="0"/>
          <w:numId w:val="4"/>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所有传送链、传送带等与物料接触部件在转运物料时漏料率低，便于收集，清洁方便。</w:t>
      </w:r>
    </w:p>
    <w:p>
      <w:pPr>
        <w:numPr>
          <w:ilvl w:val="0"/>
          <w:numId w:val="4"/>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设计时充分考虑设备与物料对接口，防止物料抛洒，物料输送出料口设置密封罩，防止物料飞溅，罩体为分体可拆卸式。各设备及连接处安装接料盘，防止漏料、滴水。</w:t>
      </w:r>
    </w:p>
    <w:p>
      <w:pPr>
        <w:numPr>
          <w:ilvl w:val="0"/>
          <w:numId w:val="4"/>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设备无卫生死角、无打扫困难部位、无物料残留，进出料端、输送链条、边缝、挡板等结构便于清洗、打扫、检修，</w:t>
      </w:r>
      <w:r>
        <w:rPr>
          <w:rFonts w:hint="eastAsia" w:ascii="宋体" w:hAnsi="宋体" w:cs="宋体"/>
          <w:bCs/>
          <w:color w:val="000000" w:themeColor="text1"/>
          <w:szCs w:val="21"/>
          <w14:textFill>
            <w14:solidFill>
              <w14:schemeClr w14:val="tx1"/>
            </w14:solidFill>
          </w14:textFill>
        </w:rPr>
        <w:t>皮带机、链板机</w:t>
      </w:r>
      <w:r>
        <w:rPr>
          <w:rFonts w:hint="eastAsia" w:ascii="宋体" w:hAnsi="宋体" w:cs="宋体"/>
          <w:color w:val="000000" w:themeColor="text1"/>
          <w:szCs w:val="21"/>
          <w14:textFill>
            <w14:solidFill>
              <w14:schemeClr w14:val="tx1"/>
            </w14:solidFill>
          </w14:textFill>
        </w:rPr>
        <w:t>配备自动清洗装置。</w:t>
      </w:r>
    </w:p>
    <w:p>
      <w:pPr>
        <w:keepNext/>
        <w:keepLines/>
        <w:numPr>
          <w:ilvl w:val="1"/>
          <w:numId w:val="1"/>
        </w:numPr>
        <w:tabs>
          <w:tab w:val="left" w:pos="420"/>
        </w:tabs>
        <w:spacing w:before="100" w:after="100" w:line="360" w:lineRule="auto"/>
        <w:jc w:val="left"/>
        <w:outlineLvl w:val="1"/>
        <w:rPr>
          <w:rFonts w:ascii="宋体" w:hAnsi="宋体" w:cs="宋体"/>
          <w:b/>
          <w:color w:val="000000" w:themeColor="text1"/>
          <w:kern w:val="0"/>
          <w:szCs w:val="21"/>
          <w14:textFill>
            <w14:solidFill>
              <w14:schemeClr w14:val="tx1"/>
            </w14:solidFill>
          </w14:textFill>
        </w:rPr>
      </w:pPr>
      <w:bookmarkStart w:id="28" w:name="_Toc15100"/>
      <w:bookmarkStart w:id="29" w:name="_Toc10454"/>
      <w:bookmarkStart w:id="30" w:name="_Toc10379"/>
      <w:bookmarkStart w:id="31" w:name="_Toc29983"/>
      <w:bookmarkStart w:id="32" w:name="_Toc28656"/>
      <w:bookmarkStart w:id="33" w:name="_Toc135583086"/>
      <w:r>
        <w:rPr>
          <w:rFonts w:hint="eastAsia" w:ascii="宋体" w:hAnsi="宋体" w:cs="宋体"/>
          <w:b/>
          <w:color w:val="000000" w:themeColor="text1"/>
          <w:kern w:val="0"/>
          <w:szCs w:val="21"/>
          <w14:textFill>
            <w14:solidFill>
              <w14:schemeClr w14:val="tx1"/>
            </w14:solidFill>
          </w14:textFill>
        </w:rPr>
        <w:t>设备安全要求</w:t>
      </w:r>
      <w:bookmarkEnd w:id="28"/>
      <w:bookmarkEnd w:id="29"/>
      <w:bookmarkEnd w:id="30"/>
      <w:bookmarkEnd w:id="31"/>
      <w:bookmarkEnd w:id="32"/>
      <w:bookmarkEnd w:id="33"/>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设备要求符合GB 50694《酒厂设计防火规范》、GB50016《建筑设计安全防火规范》、压力容器及压力管道安全、保温及相关规范要求，满足食品安全及卫生、职业健康相关安全要求等。设备本身在设计时没有有任何危险和安全隐患；设备设计时保证在按规定使用时，不发生任何危险，设备能够承受在正常使用过程中可能出现的物理和化学作用影响。凡外露的有可能造成卷绕伤人的传动部位（联轴器、链条、链轮、传动带等转运零部件）设有防护罩,连接紧固件做紧固标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设备具有以下安全设计措施：</w:t>
      </w:r>
    </w:p>
    <w:p>
      <w:pPr>
        <w:numPr>
          <w:ilvl w:val="0"/>
          <w:numId w:val="5"/>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系统具有安全自动联锁急停和故障显示功能，保证设备的高可靠性、高安全性。</w:t>
      </w:r>
    </w:p>
    <w:p>
      <w:pPr>
        <w:numPr>
          <w:ilvl w:val="0"/>
          <w:numId w:val="5"/>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直接安全措施设计。一是机械危险的措施设计，主要内容是对挤压、剪切、切割、缠绕、卷入、冲击、刺伤、摩擦或磨损等危险进行消除或减少的措施设计；二是非机械危险的措施设计，主要设计内容是对电气、温度、噪声、振动、辐射、加工物料、忽略人类工效学等危险进行消除或减小的措施设计。</w:t>
      </w:r>
    </w:p>
    <w:p>
      <w:pPr>
        <w:numPr>
          <w:ilvl w:val="0"/>
          <w:numId w:val="5"/>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间接安全措施设计。通过直接安全措施设计不能适当避免或充分限制的危险，采用间接安全措施设计加以防护。主要设计内容包括防护装置和安全装置的选用、安全防护装置的设计与制造等。</w:t>
      </w:r>
    </w:p>
    <w:p>
      <w:pPr>
        <w:numPr>
          <w:ilvl w:val="0"/>
          <w:numId w:val="5"/>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指示性安全措施设计。通过直接设计、安全防护均无法消除和减小的遗留风险，采用指示性安全措施设计。明确机器的预定用途、保证安全和正确使用所需的各种说明，同时对不执行指示性安全要求所潜在的风险提出警告。</w:t>
      </w:r>
    </w:p>
    <w:p>
      <w:pPr>
        <w:numPr>
          <w:ilvl w:val="0"/>
          <w:numId w:val="5"/>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附加预防措施设计。附加预防措施的设计，主要包括与紧急状态有关的措施和为改善机器安全而采用的一些辅助性预防手段。如机器运行中的急停、人的危险躲避、救援保护以及发现和纠正故障的诊断等。</w:t>
      </w:r>
    </w:p>
    <w:p>
      <w:pPr>
        <w:numPr>
          <w:ilvl w:val="0"/>
          <w:numId w:val="5"/>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外形结构设计。在不影响正常使用的前提下，凡人体易接近的机械外形结构均平整、光滑，不会有易引起人体操作的锐角、尖角、突出物、粗糙表面，尤其应注意金属薄片的棱边进行倒钝、折边或修边，对开口和管端进行包覆处理。</w:t>
      </w:r>
    </w:p>
    <w:p>
      <w:pPr>
        <w:numPr>
          <w:ilvl w:val="0"/>
          <w:numId w:val="5"/>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加工区结构设计。加工区是指人体进入或操作机器的区域。凡加工区易发生伤害事故的设备，均采取有效的安全防护措施。防护措施包括防护装置、联锁装置、紧急停车装置、警告或警报装置等。</w:t>
      </w:r>
    </w:p>
    <w:p>
      <w:pPr>
        <w:numPr>
          <w:ilvl w:val="0"/>
          <w:numId w:val="5"/>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运动部件结构设计。凡易造成伤害事故的运动部件均封闭或屏蔽，设置避免人员接触的防护措施；为避免挤压伤害，直线运动部件之间或直线运动部件与静止部件之间的距离，符合安全距离的规定；对可能因超负荷发生损害的部件，设置超负荷保险装置；有惯性冲撞的运动部件，采取可靠的缓冲措施。</w:t>
      </w:r>
    </w:p>
    <w:p>
      <w:pPr>
        <w:numPr>
          <w:ilvl w:val="0"/>
          <w:numId w:val="5"/>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工作位置结构设计。设备的工作位置应安全可靠，并有保证操作人员合乎心理和生理要求的活动空间；应保证操作人员的安全，人员通道防滑，必要位置设置护栏。</w:t>
      </w:r>
    </w:p>
    <w:p>
      <w:pPr>
        <w:numPr>
          <w:ilvl w:val="0"/>
          <w:numId w:val="5"/>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结构性限制的设计。主要包括：限制运动件的质量和速度，以减小因其动能和惯性作用可能导致的危险；限制往复运动的运动距离和加速度，以免产生撞击危险和冲击危险；限制弹性元件的位能，以使其不产生相应的机械危险；限制机械的噪声、振动和表面温度，以免由此产生直接危险和间接危险。</w:t>
      </w:r>
    </w:p>
    <w:p>
      <w:pPr>
        <w:numPr>
          <w:ilvl w:val="0"/>
          <w:numId w:val="5"/>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高温部位做保温或者刚性防护，避免人员烫伤。</w:t>
      </w:r>
    </w:p>
    <w:p>
      <w:pPr>
        <w:numPr>
          <w:ilvl w:val="0"/>
          <w:numId w:val="5"/>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设备维修选择使用钥匙开关，用于限制使用权限，非专业人员无法维修操作。</w:t>
      </w:r>
    </w:p>
    <w:p>
      <w:pPr>
        <w:numPr>
          <w:ilvl w:val="0"/>
          <w:numId w:val="5"/>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所有故障，特别是涉及设备自动停机的故障报警通过复位确认，即故障排除后通过复位功能才能清除故障。</w:t>
      </w:r>
    </w:p>
    <w:p>
      <w:pPr>
        <w:numPr>
          <w:ilvl w:val="0"/>
          <w:numId w:val="5"/>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控制柜上安装工作状态指示柱状报警灯，同时应设置急停按钮。设备现场配置急停操作按钮。</w:t>
      </w:r>
    </w:p>
    <w:p>
      <w:pPr>
        <w:numPr>
          <w:ilvl w:val="0"/>
          <w:numId w:val="5"/>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通过绞龙出料的裸露的加料斗、暂存斗等配有网状护罩。</w:t>
      </w:r>
    </w:p>
    <w:p>
      <w:pPr>
        <w:numPr>
          <w:ilvl w:val="0"/>
          <w:numId w:val="5"/>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安全防护设施颜色与设备本身颜色存在明显的颜色差异，走不同物料的管道等用不同颜色或其他表示形式区分开来。</w:t>
      </w:r>
    </w:p>
    <w:p>
      <w:pPr>
        <w:numPr>
          <w:ilvl w:val="0"/>
          <w:numId w:val="5"/>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压力容器铭牌与相关申报材料内容一致。</w:t>
      </w:r>
    </w:p>
    <w:p>
      <w:pPr>
        <w:numPr>
          <w:ilvl w:val="0"/>
          <w:numId w:val="5"/>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压缩空气管路均为无缝厚壁管。</w:t>
      </w:r>
      <w:bookmarkStart w:id="34" w:name="_Toc135583088"/>
      <w:bookmarkStart w:id="35" w:name="_Toc5916"/>
      <w:bookmarkStart w:id="36" w:name="_Toc19392"/>
      <w:bookmarkStart w:id="37" w:name="_Toc325"/>
      <w:bookmarkStart w:id="38" w:name="_Toc6566"/>
      <w:bookmarkStart w:id="39" w:name="_Toc26557"/>
    </w:p>
    <w:bookmarkEnd w:id="34"/>
    <w:bookmarkEnd w:id="35"/>
    <w:bookmarkEnd w:id="36"/>
    <w:bookmarkEnd w:id="37"/>
    <w:bookmarkEnd w:id="38"/>
    <w:bookmarkEnd w:id="39"/>
    <w:p>
      <w:pPr>
        <w:keepNext/>
        <w:keepLines/>
        <w:numPr>
          <w:ilvl w:val="1"/>
          <w:numId w:val="1"/>
        </w:numPr>
        <w:tabs>
          <w:tab w:val="left" w:pos="420"/>
        </w:tabs>
        <w:spacing w:before="100" w:after="100" w:line="360" w:lineRule="auto"/>
        <w:jc w:val="left"/>
        <w:outlineLvl w:val="1"/>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设备电气要求</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1）电气设计应符合以下列出的标准：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GB 17907 机械式停车设备通用安全要求；</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GB 5226.1机械安全机械电气设备第1部分：通用技术条件；</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GB/T 21067工业机械电气设备电磁兼容通用抗扰度要求。</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2）电气装置应符合IEC标准，仪器仪表符合ISO系列标准，设备接地电阻≤4Ω，配电柜接线必须有线号和标识，利于接线盒维护。</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3）配电柜、操作箱等根据使用场合及环境不同，要求具有防鼠、防水、防尘、防潮、防酸、防结露、防高温等功能。线槽布线满槽率不超过50%。</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4）摘酒区电气按GB50694《酒厂设计防火规范》和GB50058《爆炸危险环境电力装置设计规范》设计施工。</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5）设备配电设施布置要有良好的防护功能，安装防撞护栏，考虑物料转运时可能造成的碰撞和损坏，并具备等电位设计。</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6）配电柜设计须符合GB50303-2002《建筑电气工程施工质量验收规范》。</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7）所提供设备需符合国家现行GB7251标准。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8）配电箱、柜的金属部分：包括电器的安装板、支架和电器金属外壳等均良好接地，配电箱、柜的门、敷板等处装设电器，并在开启时以裸铜软线穿透明塑料管与接地金属构架可靠连接。</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9）动力配电箱内，地排、零排、必须有预留压线位置，接地螺栓，不小于M10，镀锌螺栓，接地点必须在箱体内左下角。</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10）组装配线</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（1）配电箱，柜上的电器，仪表应符合电器、仪表排列间距要求。</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（2）二次配线均采用国家标准规定颜色，加套管编序，线径按厂家标准。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（3）分层配电箱接线应考虑干线进出。</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（4）开关接线端子应与导线截面匹配。</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（5）配电箱、柜装有计量仪表的导线；如多芯铜线须采用套管或线鼻压接。</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（6）电器安装后的配线须排列整齐，用尼龙带绑扎成束或敷于专用线槽内，并卡固在板后柜内安装架处，配线应留适当长度。</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（7）配电箱、柜所装的各种开关、继电器，当处于断开状态时，可动部分不宜带电；垂直安装时上端接电源，下端接负荷，水平安装时，左端接电源，右端接负荷。（指面对配电装置）</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（8）配电箱、柜电源指示等，应接在总电源开关前侧。</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（9）配电箱、柜内的配线须按设计图纸相序分色。配电箱、柜内的电源母线，应有颜色分相标志。相序标色 L1 黄 L2绿 L3 红 N 淡兰 PE 黄/绿</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（10）所有铜母线连接处做可靠连接处理，贴色标。</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（11）配线整齐、清晰，导线绝缘良好。导线穿过铁制安装孔、面板时要加装橡皮或塑料护套。</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（12）配电箱、柜内的N线、PE线必须设汇流排，汇流排的大小必须符合有关规范要求，导线不得盘成弹簧状。</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（13）PE线用BVR线，线径选择按GB 50303 </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（14）配电箱、柜内的PE线不得串接，与活动部件连接的PE线必须采用铜质涮锡软编织线穿透明塑料管，同一接地端子最多只能压一根PE线，PE线截面应符合施工规范要求。</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（15）不等截面的两根导线严禁压在一个端子上，等截面的导线（6平方毫米以下）一个端子上最多只能压两根。</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（16）配电箱、柜需配有灭弧板、格栅。</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（17）配电箱，粉尘区域的要求需为防爆型配电箱，环境潮湿或蒸汽较多区域等要求为防潮配电箱且要求配电箱下进线。</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（18）不配有电表的配电柜里面需预留一个加装电表的位置。</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（19）天然气管道、酒管道、桥架、防爆管要防静电跨接。</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五、设备能源及环保要求</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1）设备布局经济合理，要高度实现清洁化生产。</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2）电动机能效等级不低于二级。</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3）所有的蒸汽乏汽排放口，均设置收集罩，将蒸汽集中收集排放处理。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4）配合与甲方余热回收利用系统对接。</w:t>
      </w:r>
    </w:p>
    <w:p>
      <w:pPr>
        <w:rPr>
          <w:rFonts w:ascii="宋体" w:hAnsi="宋体" w:cs="宋体"/>
          <w:color w:val="000000" w:themeColor="text1"/>
          <w:szCs w:val="21"/>
          <w14:textFill>
            <w14:solidFill>
              <w14:schemeClr w14:val="tx1"/>
            </w14:solidFill>
          </w14:textFill>
        </w:rPr>
        <w:sectPr>
          <w:headerReference r:id="rId3" w:type="default"/>
          <w:footerReference r:id="rId4" w:type="default"/>
          <w:pgSz w:w="11906" w:h="16838"/>
          <w:pgMar w:top="567" w:right="850" w:bottom="709" w:left="850" w:header="851" w:footer="992" w:gutter="0"/>
          <w:cols w:space="425" w:num="1"/>
          <w:docGrid w:type="lines" w:linePitch="312" w:charSpace="0"/>
        </w:sectPr>
      </w:pPr>
    </w:p>
    <w:p>
      <w:pPr>
        <w:pStyle w:val="2"/>
        <w:numPr>
          <w:ilvl w:val="0"/>
          <w:numId w:val="1"/>
        </w:numPr>
        <w:tabs>
          <w:tab w:val="left" w:pos="420"/>
        </w:tabs>
        <w:autoSpaceDE/>
        <w:autoSpaceDN/>
        <w:adjustRightInd/>
        <w:spacing w:before="100" w:after="100" w:line="360" w:lineRule="auto"/>
        <w:jc w:val="left"/>
        <w:rPr>
          <w:rFonts w:hAnsi="宋体" w:cs="宋体"/>
          <w:color w:val="000000" w:themeColor="text1"/>
          <w:sz w:val="21"/>
          <w:szCs w:val="21"/>
          <w14:textFill>
            <w14:solidFill>
              <w14:schemeClr w14:val="tx1"/>
            </w14:solidFill>
          </w14:textFill>
        </w:rPr>
      </w:pPr>
      <w:bookmarkStart w:id="40" w:name="_Toc135583089"/>
      <w:bookmarkStart w:id="41" w:name="_Toc18299"/>
      <w:bookmarkStart w:id="42" w:name="_Toc3616"/>
      <w:bookmarkStart w:id="43" w:name="_Toc17349"/>
      <w:bookmarkStart w:id="44" w:name="_Toc16089"/>
      <w:bookmarkStart w:id="45" w:name="_Toc2485"/>
      <w:r>
        <w:rPr>
          <w:rFonts w:hint="eastAsia" w:hAnsi="宋体" w:cs="宋体"/>
          <w:color w:val="000000" w:themeColor="text1"/>
          <w:sz w:val="21"/>
          <w:szCs w:val="21"/>
          <w14:textFill>
            <w14:solidFill>
              <w14:schemeClr w14:val="tx1"/>
            </w14:solidFill>
          </w14:textFill>
        </w:rPr>
        <w:t xml:space="preserve"> 设备材质、规格要求</w:t>
      </w:r>
      <w:bookmarkEnd w:id="40"/>
      <w:bookmarkEnd w:id="41"/>
      <w:bookmarkEnd w:id="42"/>
      <w:bookmarkEnd w:id="43"/>
      <w:bookmarkEnd w:id="44"/>
      <w:bookmarkEnd w:id="45"/>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091"/>
        <w:gridCol w:w="2483"/>
        <w:gridCol w:w="1752"/>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6" w:type="pct"/>
            <w:vMerge w:val="restart"/>
            <w:shd w:val="clear" w:color="auto" w:fill="auto"/>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640" w:type="pct"/>
            <w:vMerge w:val="restart"/>
            <w:shd w:val="clear" w:color="auto" w:fill="auto"/>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名称</w:t>
            </w:r>
          </w:p>
        </w:tc>
        <w:tc>
          <w:tcPr>
            <w:tcW w:w="1457" w:type="pct"/>
            <w:vMerge w:val="restart"/>
            <w:shd w:val="clear" w:color="auto" w:fill="auto"/>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材质、规格</w:t>
            </w:r>
          </w:p>
        </w:tc>
        <w:tc>
          <w:tcPr>
            <w:tcW w:w="1028" w:type="pct"/>
            <w:vMerge w:val="restart"/>
            <w:shd w:val="clear" w:color="auto" w:fill="auto"/>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品牌</w:t>
            </w:r>
          </w:p>
        </w:tc>
        <w:tc>
          <w:tcPr>
            <w:tcW w:w="1478" w:type="pct"/>
            <w:vMerge w:val="restart"/>
            <w:shd w:val="clear" w:color="auto" w:fill="auto"/>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6" w:type="pct"/>
            <w:vMerge w:val="continue"/>
            <w:shd w:val="clear" w:color="auto" w:fill="auto"/>
            <w:vAlign w:val="center"/>
          </w:tcPr>
          <w:p>
            <w:pPr>
              <w:rPr>
                <w:rFonts w:ascii="宋体" w:hAnsi="宋体" w:cs="宋体"/>
                <w:color w:val="000000" w:themeColor="text1"/>
                <w:szCs w:val="21"/>
                <w14:textFill>
                  <w14:solidFill>
                    <w14:schemeClr w14:val="tx1"/>
                  </w14:solidFill>
                </w14:textFill>
              </w:rPr>
            </w:pPr>
          </w:p>
        </w:tc>
        <w:tc>
          <w:tcPr>
            <w:tcW w:w="640" w:type="pct"/>
            <w:vMerge w:val="continue"/>
            <w:shd w:val="clear" w:color="auto" w:fill="auto"/>
            <w:vAlign w:val="center"/>
          </w:tcPr>
          <w:p>
            <w:pPr>
              <w:rPr>
                <w:rFonts w:ascii="宋体" w:hAnsi="宋体" w:cs="宋体"/>
                <w:color w:val="000000" w:themeColor="text1"/>
                <w:szCs w:val="21"/>
                <w14:textFill>
                  <w14:solidFill>
                    <w14:schemeClr w14:val="tx1"/>
                  </w14:solidFill>
                </w14:textFill>
              </w:rPr>
            </w:pPr>
          </w:p>
        </w:tc>
        <w:tc>
          <w:tcPr>
            <w:tcW w:w="1457" w:type="pct"/>
            <w:vMerge w:val="continue"/>
            <w:shd w:val="clear" w:color="auto" w:fill="auto"/>
            <w:vAlign w:val="center"/>
          </w:tcPr>
          <w:p>
            <w:pPr>
              <w:rPr>
                <w:rFonts w:ascii="宋体" w:hAnsi="宋体" w:cs="宋体"/>
                <w:color w:val="000000" w:themeColor="text1"/>
                <w:szCs w:val="21"/>
                <w14:textFill>
                  <w14:solidFill>
                    <w14:schemeClr w14:val="tx1"/>
                  </w14:solidFill>
                </w14:textFill>
              </w:rPr>
            </w:pPr>
          </w:p>
        </w:tc>
        <w:tc>
          <w:tcPr>
            <w:tcW w:w="1028" w:type="pct"/>
            <w:vMerge w:val="continue"/>
            <w:shd w:val="clear" w:color="auto" w:fill="auto"/>
            <w:vAlign w:val="center"/>
          </w:tcPr>
          <w:p>
            <w:pPr>
              <w:rPr>
                <w:rFonts w:ascii="宋体" w:hAnsi="宋体" w:cs="宋体"/>
                <w:color w:val="000000" w:themeColor="text1"/>
                <w:szCs w:val="21"/>
                <w14:textFill>
                  <w14:solidFill>
                    <w14:schemeClr w14:val="tx1"/>
                  </w14:solidFill>
                </w14:textFill>
              </w:rPr>
            </w:pPr>
          </w:p>
        </w:tc>
        <w:tc>
          <w:tcPr>
            <w:tcW w:w="1478" w:type="pct"/>
            <w:vMerge w:val="continue"/>
            <w:shd w:val="clear" w:color="auto" w:fill="auto"/>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000" w:type="pct"/>
            <w:gridSpan w:val="5"/>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一、机械设备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396" w:type="pc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减速机</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SEW</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SEW无对应类型的，如摆线针轮减速机等可采用国内一线品牌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6" w:type="pc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电机</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SEW、西门子</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外购成套设备电机除外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96" w:type="pc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管链机、管线机</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克伯韦</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96" w:type="pc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离心风机</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广东鑫风、上海德惠</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风机外壳、叶轮采用不锈钢材质，设有防护罩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96" w:type="pc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酒泵（含酵母泵）</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上海远安、溧阳四方、英菲克</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396" w:type="pc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管道泵（非酒泵）</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南方泵业、凯泉</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成套设备自带内部泵，品牌不做约束</w:t>
            </w:r>
          </w:p>
          <w:p>
            <w:pPr>
              <w:pStyle w:val="4"/>
              <w:jc w:val="center"/>
              <w:rPr>
                <w:rFonts w:cs="宋体"/>
                <w:sz w:val="21"/>
                <w:szCs w:val="21"/>
              </w:rPr>
            </w:pPr>
            <w:r>
              <w:rPr>
                <w:rFonts w:hint="eastAsia" w:cs="宋体"/>
                <w:color w:val="000000" w:themeColor="text1"/>
                <w:sz w:val="21"/>
                <w:szCs w:val="21"/>
                <w14:textFill>
                  <w14:solidFill>
                    <w14:schemeClr w14:val="tx1"/>
                  </w14:solidFill>
                </w14:textFill>
              </w:rPr>
              <w:t>热水泵选用APV,KSB进口品牌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96" w:type="pc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气动原件</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气缸、电磁阀</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费斯托、SMC</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6" w:type="pc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制冷机组</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开利、格力、约克</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96" w:type="pc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RGV非接触供电系统</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SEW</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396" w:type="pc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轴承</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NSK、SKF</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带座轴承、电机、减速机内部已装配的轴承、外购设备除外,特殊型号SKF/NSK没有的，采用国内一线品牌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396" w:type="pc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电动、气动阀门</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远安、FV</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特殊型号的可选用国内一线品牌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000" w:type="pct"/>
            <w:gridSpan w:val="5"/>
            <w:shd w:val="clear" w:color="auto" w:fill="auto"/>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二、不锈钢板材型材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6" w:type="pc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不锈钢板材</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宝钢、张浦、太钢</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板材厚度符合中国国标，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396" w:type="pc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不锈钢型材、管材</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星王/远安/永大/溧阳四方</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星王（矩管）</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远安（卫生管、焊管）</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永大（地漏、排水管）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000" w:type="pct"/>
            <w:gridSpan w:val="5"/>
            <w:shd w:val="clear" w:color="auto" w:fill="auto"/>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三、电器元件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96" w:type="pc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控制柜、配电柜</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定制</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GB/T 22764、GB/T 31847、GB/T 20641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96" w:type="pc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电动机保护器</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西门子、施耐德、ABB</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6" w:type="pc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w:t>
            </w: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塑壳断路器</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西门子、施耐德、ABB</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6" w:type="pc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w:t>
            </w: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接触器</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西门子、施耐德、ABB</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6" w:type="pc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w:t>
            </w: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空气断路器</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西门子、施耐德、ABB</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6" w:type="pc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w:t>
            </w: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变频器</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西门子、施耐德、ABB</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6" w:type="pc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软启动器</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西门子、施耐德、ABB</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6" w:type="pc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w:t>
            </w: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继电器</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西门子、施耐德、ABB、欧姆龙</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6" w:type="pc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w:t>
            </w: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光电开关</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P+F、基恩士、欧姆龙、霍尼韦尔</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96" w:type="pc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w:t>
            </w: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接近开关</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欧姆龙、霍尼韦尔、P+F</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000" w:type="pct"/>
            <w:gridSpan w:val="5"/>
            <w:shd w:val="clear" w:color="auto" w:fill="auto"/>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五、计算机设备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6" w:hRule="atLeast"/>
          <w:jc w:val="center"/>
        </w:trPr>
        <w:tc>
          <w:tcPr>
            <w:tcW w:w="396" w:type="pc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w:t>
            </w: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服务器</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SR650   2*Intel Xeon Silver 4108 8C 85W 1.8GHz 处理器，4x16G, 4x1.2T（3块raid5，1块热备）,730i w/1GB cache,支持RAID 0/1/10/5/50 4x1G，2块550W,设备不得低于以上配置</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戴尔、IBM、惠普</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396" w:type="pct"/>
            <w:vMerge w:val="restar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w:t>
            </w:r>
          </w:p>
        </w:tc>
        <w:tc>
          <w:tcPr>
            <w:tcW w:w="640" w:type="pct"/>
            <w:vMerge w:val="restar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工程师站</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P410 工作站 E5-1620V4/16G ECC/2*1TB SATA/P2000 5G//RAMBO/</w:t>
            </w:r>
          </w:p>
        </w:tc>
        <w:tc>
          <w:tcPr>
            <w:tcW w:w="1028" w:type="pct"/>
            <w:vMerge w:val="restar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戴尔、联想、研祥</w:t>
            </w:r>
          </w:p>
        </w:tc>
        <w:tc>
          <w:tcPr>
            <w:tcW w:w="1478" w:type="pct"/>
            <w:vMerge w:val="restar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6" w:type="pct"/>
            <w:vMerge w:val="continue"/>
            <w:shd w:val="clear" w:color="auto" w:fill="auto"/>
            <w:vAlign w:val="center"/>
          </w:tcPr>
          <w:p>
            <w:pPr>
              <w:rPr>
                <w:rFonts w:ascii="宋体" w:hAnsi="宋体" w:cs="宋体"/>
                <w:color w:val="000000" w:themeColor="text1"/>
                <w:szCs w:val="21"/>
                <w14:textFill>
                  <w14:solidFill>
                    <w14:schemeClr w14:val="tx1"/>
                  </w14:solidFill>
                </w14:textFill>
              </w:rPr>
            </w:pPr>
          </w:p>
        </w:tc>
        <w:tc>
          <w:tcPr>
            <w:tcW w:w="640" w:type="pct"/>
            <w:vMerge w:val="continue"/>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设备不得低于以上配置</w:t>
            </w:r>
          </w:p>
        </w:tc>
        <w:tc>
          <w:tcPr>
            <w:tcW w:w="1028" w:type="pct"/>
            <w:vMerge w:val="continue"/>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478" w:type="pct"/>
            <w:vMerge w:val="continue"/>
            <w:shd w:val="clear" w:color="auto" w:fill="auto"/>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396" w:type="pct"/>
            <w:vMerge w:val="restar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w:t>
            </w:r>
          </w:p>
        </w:tc>
        <w:tc>
          <w:tcPr>
            <w:tcW w:w="640" w:type="pct"/>
            <w:vMerge w:val="restar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归档服务器</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SR650   2*Intel Xeon 5118 12C/105W/2.3GHz 处理器， 4x16G, 8x1.2T,H730P/2GB cache,支持RAID 0/1/10/5/50 4x1G，2块550W，2U机箱</w:t>
            </w:r>
          </w:p>
        </w:tc>
        <w:tc>
          <w:tcPr>
            <w:tcW w:w="1028" w:type="pct"/>
            <w:vMerge w:val="restar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戴尔、IBM、惠普</w:t>
            </w:r>
          </w:p>
        </w:tc>
        <w:tc>
          <w:tcPr>
            <w:tcW w:w="1478" w:type="pct"/>
            <w:vMerge w:val="restar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windows server数据中心版+归档服务器软件；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96" w:type="pct"/>
            <w:vMerge w:val="continue"/>
            <w:shd w:val="clear" w:color="auto" w:fill="auto"/>
            <w:vAlign w:val="center"/>
          </w:tcPr>
          <w:p>
            <w:pPr>
              <w:rPr>
                <w:rFonts w:ascii="宋体" w:hAnsi="宋体" w:cs="宋体"/>
                <w:color w:val="000000" w:themeColor="text1"/>
                <w:szCs w:val="21"/>
                <w14:textFill>
                  <w14:solidFill>
                    <w14:schemeClr w14:val="tx1"/>
                  </w14:solidFill>
                </w14:textFill>
              </w:rPr>
            </w:pPr>
          </w:p>
        </w:tc>
        <w:tc>
          <w:tcPr>
            <w:tcW w:w="640" w:type="pct"/>
            <w:vMerge w:val="continue"/>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设备不得低于以上配置</w:t>
            </w:r>
          </w:p>
        </w:tc>
        <w:tc>
          <w:tcPr>
            <w:tcW w:w="1028" w:type="pct"/>
            <w:vMerge w:val="continue"/>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478" w:type="pct"/>
            <w:vMerge w:val="continue"/>
            <w:shd w:val="clear" w:color="auto" w:fill="auto"/>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000" w:type="pct"/>
            <w:gridSpan w:val="5"/>
            <w:shd w:val="clear" w:color="auto" w:fill="auto"/>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六、PLC及网络设备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396" w:type="pc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w:t>
            </w: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可编程控制器</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西门子S7-1500/1200系列</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所有参数可通过PLC和工控机显示屏界面调整，其PLC程序的变化可改变现场的预设参数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6" w:type="pc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w:t>
            </w: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IO模块</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西门子</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6" w:type="pc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w:t>
            </w: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通讯模块</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西门子</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6" w:type="pc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现场交换机</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西门子</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96" w:type="pc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w:t>
            </w: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触摸屏</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西门子</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000" w:type="pct"/>
            <w:gridSpan w:val="5"/>
            <w:shd w:val="clear" w:color="auto" w:fill="auto"/>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七、仪表设备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6" w:type="pct"/>
            <w:vMerge w:val="restar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w:t>
            </w:r>
          </w:p>
        </w:tc>
        <w:tc>
          <w:tcPr>
            <w:tcW w:w="640" w:type="pct"/>
            <w:vMerge w:val="restar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酒精测量仪</w:t>
            </w:r>
          </w:p>
        </w:tc>
        <w:tc>
          <w:tcPr>
            <w:tcW w:w="1457" w:type="pct"/>
            <w:vMerge w:val="restar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28" w:type="pct"/>
            <w:vMerge w:val="restar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三易、上海一诺</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精度等级：1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396" w:type="pct"/>
            <w:vMerge w:val="continue"/>
            <w:shd w:val="clear" w:color="auto" w:fill="auto"/>
            <w:vAlign w:val="center"/>
          </w:tcPr>
          <w:p>
            <w:pPr>
              <w:rPr>
                <w:rFonts w:ascii="宋体" w:hAnsi="宋体" w:cs="宋体"/>
                <w:color w:val="000000" w:themeColor="text1"/>
                <w:szCs w:val="21"/>
                <w14:textFill>
                  <w14:solidFill>
                    <w14:schemeClr w14:val="tx1"/>
                  </w14:solidFill>
                </w14:textFill>
              </w:rPr>
            </w:pPr>
          </w:p>
        </w:tc>
        <w:tc>
          <w:tcPr>
            <w:tcW w:w="640" w:type="pct"/>
            <w:vMerge w:val="continue"/>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457" w:type="pct"/>
            <w:vMerge w:val="continue"/>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028" w:type="pct"/>
            <w:vMerge w:val="continue"/>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485通讯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6" w:type="pct"/>
            <w:vMerge w:val="restar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w:t>
            </w:r>
          </w:p>
        </w:tc>
        <w:tc>
          <w:tcPr>
            <w:tcW w:w="640" w:type="pct"/>
            <w:vMerge w:val="restar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电磁流量计</w:t>
            </w:r>
          </w:p>
        </w:tc>
        <w:tc>
          <w:tcPr>
            <w:tcW w:w="1457" w:type="pct"/>
            <w:vMerge w:val="restar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28" w:type="pct"/>
            <w:vMerge w:val="restar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科隆、罗斯蒙特、E+H</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精度等级：0.5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96" w:type="pct"/>
            <w:vMerge w:val="continue"/>
            <w:shd w:val="clear" w:color="auto" w:fill="auto"/>
            <w:vAlign w:val="center"/>
          </w:tcPr>
          <w:p>
            <w:pPr>
              <w:rPr>
                <w:rFonts w:ascii="宋体" w:hAnsi="宋体" w:cs="宋体"/>
                <w:color w:val="000000" w:themeColor="text1"/>
                <w:szCs w:val="21"/>
                <w14:textFill>
                  <w14:solidFill>
                    <w14:schemeClr w14:val="tx1"/>
                  </w14:solidFill>
                </w14:textFill>
              </w:rPr>
            </w:pPr>
          </w:p>
        </w:tc>
        <w:tc>
          <w:tcPr>
            <w:tcW w:w="640" w:type="pct"/>
            <w:vMerge w:val="continue"/>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457" w:type="pct"/>
            <w:vMerge w:val="continue"/>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028" w:type="pct"/>
            <w:vMerge w:val="continue"/>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hart协议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6" w:type="pct"/>
            <w:vMerge w:val="restar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w:t>
            </w:r>
          </w:p>
        </w:tc>
        <w:tc>
          <w:tcPr>
            <w:tcW w:w="640" w:type="pct"/>
            <w:vMerge w:val="restar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压力传感器</w:t>
            </w:r>
          </w:p>
        </w:tc>
        <w:tc>
          <w:tcPr>
            <w:tcW w:w="1457" w:type="pct"/>
            <w:vMerge w:val="restar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28" w:type="pct"/>
            <w:vMerge w:val="restar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科隆、罗斯蒙特、E+H</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精度等级：0.25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6" w:type="pct"/>
            <w:vMerge w:val="continue"/>
            <w:shd w:val="clear" w:color="auto" w:fill="auto"/>
            <w:vAlign w:val="center"/>
          </w:tcPr>
          <w:p>
            <w:pPr>
              <w:rPr>
                <w:rFonts w:ascii="宋体" w:hAnsi="宋体" w:cs="宋体"/>
                <w:color w:val="000000" w:themeColor="text1"/>
                <w:szCs w:val="21"/>
                <w14:textFill>
                  <w14:solidFill>
                    <w14:schemeClr w14:val="tx1"/>
                  </w14:solidFill>
                </w14:textFill>
              </w:rPr>
            </w:pPr>
          </w:p>
        </w:tc>
        <w:tc>
          <w:tcPr>
            <w:tcW w:w="640" w:type="pct"/>
            <w:vMerge w:val="continue"/>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457" w:type="pct"/>
            <w:vMerge w:val="continue"/>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028" w:type="pct"/>
            <w:vMerge w:val="continue"/>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hart协议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6" w:type="pc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w:t>
            </w: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温度传感器</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科隆、罗斯蒙特、E+H</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精度等级：0.5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6" w:type="pc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w:t>
            </w: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称重模块</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梅特勒-托利多</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96" w:type="pc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w:t>
            </w: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液位传感器</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科隆、罗斯蒙特、E+H</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96" w:type="pct"/>
            <w:vMerge w:val="restar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w:t>
            </w:r>
          </w:p>
        </w:tc>
        <w:tc>
          <w:tcPr>
            <w:tcW w:w="640" w:type="pct"/>
            <w:vMerge w:val="restar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多功能智能电表</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电计量表</w:t>
            </w:r>
          </w:p>
        </w:tc>
        <w:tc>
          <w:tcPr>
            <w:tcW w:w="1028" w:type="pct"/>
            <w:vMerge w:val="restar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安科瑞、德力西、正泰</w:t>
            </w:r>
          </w:p>
        </w:tc>
        <w:tc>
          <w:tcPr>
            <w:tcW w:w="1478" w:type="pct"/>
            <w:vMerge w:val="restar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带有远传（modbus485标准通讯接口）功能，能够查看实时负荷、功率因数、电流、电压、累积电量、三相不平衡度、无功功率、反向有功无功、频率偏差等电力参数，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96" w:type="pct"/>
            <w:vMerge w:val="continue"/>
            <w:shd w:val="clear" w:color="auto" w:fill="auto"/>
            <w:vAlign w:val="center"/>
          </w:tcPr>
          <w:p>
            <w:pPr>
              <w:rPr>
                <w:rFonts w:ascii="宋体" w:hAnsi="宋体" w:cs="宋体"/>
                <w:color w:val="000000" w:themeColor="text1"/>
                <w:szCs w:val="21"/>
                <w14:textFill>
                  <w14:solidFill>
                    <w14:schemeClr w14:val="tx1"/>
                  </w14:solidFill>
                </w14:textFill>
              </w:rPr>
            </w:pPr>
          </w:p>
        </w:tc>
        <w:tc>
          <w:tcPr>
            <w:tcW w:w="640" w:type="pct"/>
            <w:vMerge w:val="continue"/>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（能源计量用）</w:t>
            </w:r>
          </w:p>
        </w:tc>
        <w:tc>
          <w:tcPr>
            <w:tcW w:w="1028" w:type="pct"/>
            <w:vMerge w:val="continue"/>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478" w:type="pct"/>
            <w:vMerge w:val="continue"/>
            <w:shd w:val="clear" w:color="auto" w:fill="auto"/>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6" w:type="pct"/>
            <w:vMerge w:val="restar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39</w:t>
            </w:r>
          </w:p>
        </w:tc>
        <w:tc>
          <w:tcPr>
            <w:tcW w:w="640" w:type="pct"/>
            <w:vMerge w:val="restar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涡街流量计</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蒸汽计量表</w:t>
            </w:r>
          </w:p>
        </w:tc>
        <w:tc>
          <w:tcPr>
            <w:tcW w:w="1028" w:type="pct"/>
            <w:vMerge w:val="restar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科隆、罗斯蒙特、E+H</w:t>
            </w:r>
          </w:p>
        </w:tc>
        <w:tc>
          <w:tcPr>
            <w:tcW w:w="1478" w:type="pct"/>
            <w:vMerge w:val="restar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精度等级：1.0及以上，分体式，带有远传（modbus485标准通讯接口）功能，能够查看瞬时流量、累积流量、温度、压力、能够记录停电时间、次数，配备温度、压力补偿。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396" w:type="pct"/>
            <w:vMerge w:val="continue"/>
            <w:shd w:val="clear" w:color="auto" w:fill="auto"/>
            <w:vAlign w:val="center"/>
          </w:tcPr>
          <w:p>
            <w:pPr>
              <w:rPr>
                <w:rFonts w:ascii="宋体" w:hAnsi="宋体" w:cs="宋体"/>
                <w:color w:val="000000" w:themeColor="text1"/>
                <w:szCs w:val="21"/>
                <w14:textFill>
                  <w14:solidFill>
                    <w14:schemeClr w14:val="tx1"/>
                  </w14:solidFill>
                </w14:textFill>
              </w:rPr>
            </w:pPr>
          </w:p>
        </w:tc>
        <w:tc>
          <w:tcPr>
            <w:tcW w:w="640" w:type="pct"/>
            <w:vMerge w:val="continue"/>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（能源计量用）</w:t>
            </w:r>
          </w:p>
        </w:tc>
        <w:tc>
          <w:tcPr>
            <w:tcW w:w="1028" w:type="pct"/>
            <w:vMerge w:val="continue"/>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478" w:type="pct"/>
            <w:vMerge w:val="continue"/>
            <w:shd w:val="clear" w:color="auto" w:fill="auto"/>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6" w:type="pct"/>
            <w:vMerge w:val="restar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电缆电线</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国标</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上海玖开、远东、南牌</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专用电线电缆排除在外，如有相关行业特殊规定的，按相应标准执行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96" w:type="pct"/>
            <w:vMerge w:val="continue"/>
            <w:shd w:val="clear" w:color="auto" w:fill="auto"/>
            <w:vAlign w:val="center"/>
          </w:tcPr>
          <w:p>
            <w:pPr>
              <w:rPr>
                <w:rFonts w:ascii="宋体" w:hAnsi="宋体" w:cs="宋体"/>
                <w:color w:val="000000" w:themeColor="text1"/>
                <w:szCs w:val="21"/>
                <w14:textFill>
                  <w14:solidFill>
                    <w14:schemeClr w14:val="tx1"/>
                  </w14:solidFill>
                </w14:textFill>
              </w:rPr>
            </w:pPr>
          </w:p>
        </w:tc>
        <w:tc>
          <w:tcPr>
            <w:tcW w:w="640"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网络通讯电缆</w:t>
            </w:r>
          </w:p>
        </w:tc>
        <w:tc>
          <w:tcPr>
            <w:tcW w:w="1457"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带屏蔽层</w:t>
            </w:r>
          </w:p>
        </w:tc>
        <w:tc>
          <w:tcPr>
            <w:tcW w:w="102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西门子</w:t>
            </w:r>
          </w:p>
        </w:tc>
        <w:tc>
          <w:tcPr>
            <w:tcW w:w="1478" w:type="pc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超六类网线可选用国内一线</w:t>
            </w:r>
          </w:p>
        </w:tc>
      </w:tr>
    </w:tbl>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1.所有材料、零部件均需符合相关国家标准。</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2.电机必须是二级能效以上产品(防爆电机、0.75kw以下及变频电机除外)。</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3.所用减速机SEW没有对应规格型号的，可以采用国内一线品牌减速机。</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4.所用轴承SFK、NSK无对应型号的可以采用LK、HRB、LYC等国内一线品牌。</w:t>
      </w:r>
    </w:p>
    <w:p>
      <w:pPr>
        <w:pStyle w:val="4"/>
        <w:ind w:firstLine="420" w:firstLineChars="2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5、本表中有要求的材料、零部件要求，以本表为准，本表中无要求的，还应遵循附件2《电气电料、五金采购标准》。投标方应当遵循本表及《电气电料、五金采购标准》的品牌及材料要求，如采购其他品牌设备和材料，</w:t>
      </w:r>
      <w:r>
        <w:rPr>
          <w:rFonts w:hint="eastAsia" w:cs="宋体"/>
          <w:sz w:val="21"/>
          <w:szCs w:val="21"/>
        </w:rPr>
        <w:t>需持平或高于以上规定标准,并以书面形式征得甲方同意。</w:t>
      </w:r>
    </w:p>
    <w:p>
      <w:pPr>
        <w:tabs>
          <w:tab w:val="left" w:pos="7663"/>
        </w:tabs>
        <w:adjustRightInd w:val="0"/>
        <w:textAlignment w:val="baseline"/>
        <w:rPr>
          <w:rFonts w:ascii="宋体" w:hAnsi="宋体" w:cs="宋体"/>
          <w:b/>
          <w:color w:val="000000" w:themeColor="text1"/>
          <w:szCs w:val="21"/>
          <w14:textFill>
            <w14:solidFill>
              <w14:schemeClr w14:val="tx1"/>
            </w14:solidFill>
          </w14:textFill>
        </w:rPr>
      </w:pPr>
    </w:p>
    <w:p>
      <w:pPr>
        <w:pStyle w:val="2"/>
        <w:numPr>
          <w:ilvl w:val="0"/>
          <w:numId w:val="1"/>
        </w:numPr>
        <w:tabs>
          <w:tab w:val="left" w:pos="420"/>
        </w:tabs>
        <w:autoSpaceDE/>
        <w:autoSpaceDN/>
        <w:adjustRightInd/>
        <w:spacing w:before="100" w:after="100" w:line="360" w:lineRule="auto"/>
        <w:jc w:val="left"/>
        <w:rPr>
          <w:rFonts w:hAnsi="宋体" w:cs="宋体"/>
          <w:color w:val="000000" w:themeColor="text1"/>
          <w:sz w:val="21"/>
          <w:szCs w:val="21"/>
          <w14:textFill>
            <w14:solidFill>
              <w14:schemeClr w14:val="tx1"/>
            </w14:solidFill>
          </w14:textFill>
        </w:rPr>
      </w:pPr>
      <w:bookmarkStart w:id="46" w:name="_Toc135583090"/>
      <w:bookmarkStart w:id="47" w:name="_Toc20340"/>
      <w:bookmarkStart w:id="48" w:name="_Toc14875"/>
      <w:bookmarkStart w:id="49" w:name="_Toc40818053"/>
      <w:bookmarkStart w:id="50" w:name="_Toc11476"/>
      <w:bookmarkStart w:id="51" w:name="_Toc25081"/>
      <w:bookmarkStart w:id="52" w:name="_Toc20385"/>
      <w:bookmarkStart w:id="53" w:name="_Toc16932"/>
      <w:bookmarkStart w:id="54" w:name="_Toc9701"/>
      <w:r>
        <w:rPr>
          <w:rFonts w:hint="eastAsia" w:hAnsi="宋体" w:cs="宋体"/>
          <w:color w:val="000000" w:themeColor="text1"/>
          <w:sz w:val="21"/>
          <w:szCs w:val="21"/>
          <w14:textFill>
            <w14:solidFill>
              <w14:schemeClr w14:val="tx1"/>
            </w14:solidFill>
          </w14:textFill>
        </w:rPr>
        <w:t xml:space="preserve"> 安全管理规定</w:t>
      </w:r>
      <w:bookmarkEnd w:id="46"/>
      <w:bookmarkEnd w:id="47"/>
      <w:bookmarkEnd w:id="48"/>
      <w:bookmarkEnd w:id="49"/>
      <w:bookmarkEnd w:id="50"/>
      <w:bookmarkEnd w:id="51"/>
      <w:bookmarkEnd w:id="52"/>
      <w:bookmarkEnd w:id="53"/>
      <w:bookmarkEnd w:id="54"/>
    </w:p>
    <w:p>
      <w:pPr>
        <w:numPr>
          <w:ilvl w:val="0"/>
          <w:numId w:val="6"/>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乙方进入现场进行工作有指定专人陪同，并遵守规章制度，服从管理和调度。由于乙方责任而造成的经济损失或人员伤害，乙方负责赔偿全部损失。</w:t>
      </w:r>
    </w:p>
    <w:p>
      <w:pPr>
        <w:numPr>
          <w:ilvl w:val="0"/>
          <w:numId w:val="6"/>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乙方严格遵守国家有关安全生产的法律法规。乙方严格执行职业健康安全环境体系对相关方的管理规定。</w:t>
      </w:r>
    </w:p>
    <w:p>
      <w:pPr>
        <w:numPr>
          <w:ilvl w:val="0"/>
          <w:numId w:val="6"/>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乙方参加施工的人员，积极接受安全技术教育，熟知和遵守本工种的各项安全技术操作规程，定期进行安全技术考核，合格者方可上岗操作。</w:t>
      </w:r>
    </w:p>
    <w:p>
      <w:pPr>
        <w:pStyle w:val="2"/>
        <w:numPr>
          <w:ilvl w:val="0"/>
          <w:numId w:val="1"/>
        </w:numPr>
        <w:tabs>
          <w:tab w:val="left" w:pos="420"/>
        </w:tabs>
        <w:autoSpaceDE/>
        <w:autoSpaceDN/>
        <w:adjustRightInd/>
        <w:spacing w:before="100" w:after="100" w:line="360" w:lineRule="auto"/>
        <w:jc w:val="left"/>
        <w:rPr>
          <w:rFonts w:hAnsi="宋体" w:cs="宋体"/>
          <w:color w:val="000000" w:themeColor="text1"/>
          <w:sz w:val="21"/>
          <w:szCs w:val="21"/>
          <w14:textFill>
            <w14:solidFill>
              <w14:schemeClr w14:val="tx1"/>
            </w14:solidFill>
          </w14:textFill>
        </w:rPr>
      </w:pPr>
      <w:bookmarkStart w:id="55" w:name="_Toc13503"/>
      <w:bookmarkStart w:id="56" w:name="_Toc9458"/>
      <w:bookmarkStart w:id="57" w:name="_Toc13994_WPSOffice_Level1"/>
      <w:bookmarkStart w:id="58" w:name="_Toc10176"/>
      <w:bookmarkStart w:id="59" w:name="_Toc25653"/>
      <w:bookmarkStart w:id="60" w:name="_Toc40818055"/>
      <w:bookmarkStart w:id="61" w:name="_Toc135583092"/>
      <w:bookmarkStart w:id="62" w:name="_Toc1427"/>
      <w:r>
        <w:rPr>
          <w:rFonts w:hint="eastAsia" w:hAnsi="宋体" w:cs="宋体"/>
          <w:color w:val="000000" w:themeColor="text1"/>
          <w:sz w:val="21"/>
          <w:szCs w:val="21"/>
          <w14:textFill>
            <w14:solidFill>
              <w14:schemeClr w14:val="tx1"/>
            </w14:solidFill>
          </w14:textFill>
        </w:rPr>
        <w:t xml:space="preserve"> 安装调试和验收</w:t>
      </w:r>
      <w:bookmarkEnd w:id="55"/>
      <w:bookmarkEnd w:id="56"/>
      <w:bookmarkEnd w:id="57"/>
      <w:bookmarkEnd w:id="58"/>
      <w:bookmarkEnd w:id="59"/>
      <w:bookmarkEnd w:id="60"/>
      <w:bookmarkEnd w:id="61"/>
      <w:bookmarkEnd w:id="62"/>
    </w:p>
    <w:p>
      <w:pPr>
        <w:keepNext/>
        <w:keepLines/>
        <w:numPr>
          <w:ilvl w:val="1"/>
          <w:numId w:val="1"/>
        </w:numPr>
        <w:tabs>
          <w:tab w:val="left" w:pos="420"/>
        </w:tabs>
        <w:spacing w:before="100" w:after="100" w:line="360" w:lineRule="auto"/>
        <w:jc w:val="left"/>
        <w:outlineLvl w:val="1"/>
        <w:rPr>
          <w:rFonts w:ascii="宋体" w:hAnsi="宋体" w:cs="宋体"/>
          <w:b/>
          <w:color w:val="000000" w:themeColor="text1"/>
          <w:kern w:val="0"/>
          <w:szCs w:val="21"/>
          <w14:textFill>
            <w14:solidFill>
              <w14:schemeClr w14:val="tx1"/>
            </w14:solidFill>
          </w14:textFill>
        </w:rPr>
      </w:pPr>
      <w:bookmarkStart w:id="63" w:name="_Toc135583093"/>
      <w:bookmarkStart w:id="64" w:name="_Toc28758"/>
      <w:bookmarkStart w:id="65" w:name="_Toc28016"/>
      <w:bookmarkStart w:id="66" w:name="_Toc40818056"/>
      <w:bookmarkStart w:id="67" w:name="_Toc7470"/>
      <w:bookmarkStart w:id="68" w:name="_Toc31011"/>
      <w:bookmarkStart w:id="69" w:name="_Toc4253"/>
      <w:r>
        <w:rPr>
          <w:rFonts w:hint="eastAsia" w:ascii="宋体" w:hAnsi="宋体" w:cs="宋体"/>
          <w:b/>
          <w:color w:val="000000" w:themeColor="text1"/>
          <w:kern w:val="0"/>
          <w:szCs w:val="21"/>
          <w14:textFill>
            <w14:solidFill>
              <w14:schemeClr w14:val="tx1"/>
            </w14:solidFill>
          </w14:textFill>
        </w:rPr>
        <w:t>设备验收要求</w:t>
      </w:r>
      <w:bookmarkEnd w:id="63"/>
      <w:bookmarkEnd w:id="64"/>
      <w:bookmarkEnd w:id="65"/>
      <w:bookmarkEnd w:id="66"/>
      <w:bookmarkEnd w:id="67"/>
      <w:bookmarkEnd w:id="68"/>
      <w:bookmarkEnd w:id="69"/>
    </w:p>
    <w:p>
      <w:pPr>
        <w:numPr>
          <w:ilvl w:val="0"/>
          <w:numId w:val="7"/>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设备外观整洁，外壳、护罩无明显变形、划痕等缺陷，开关、手柄完好无破损，电源线、控制线外皮无龟裂、老化现象，线路连接牢固、可靠，绝缘良好无裸露，机械统一编号字体整齐、美观。</w:t>
      </w:r>
    </w:p>
    <w:p>
      <w:pPr>
        <w:numPr>
          <w:ilvl w:val="0"/>
          <w:numId w:val="7"/>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设备各部位完好齐全，机体部分无变形，焊接部位无开焊、裂纹，各部位连接牢固。</w:t>
      </w:r>
    </w:p>
    <w:p>
      <w:pPr>
        <w:numPr>
          <w:ilvl w:val="0"/>
          <w:numId w:val="7"/>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设备传动机构运转灵活，无卡阻，无异响，整机运行平稳，工作性能与机型相符，能满足车间使用需求。</w:t>
      </w:r>
    </w:p>
    <w:p>
      <w:pPr>
        <w:numPr>
          <w:ilvl w:val="0"/>
          <w:numId w:val="7"/>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各种防护罩齐全、有效，限位器灵敏可靠，整机安全性能良好。</w:t>
      </w:r>
    </w:p>
    <w:p>
      <w:pPr>
        <w:numPr>
          <w:ilvl w:val="0"/>
          <w:numId w:val="7"/>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无直接对操作人员产生伤害的安全隐患。</w:t>
      </w:r>
    </w:p>
    <w:p>
      <w:pPr>
        <w:numPr>
          <w:ilvl w:val="0"/>
          <w:numId w:val="7"/>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配置及材料等满足招标要求。</w:t>
      </w:r>
    </w:p>
    <w:p>
      <w:pPr>
        <w:numPr>
          <w:ilvl w:val="0"/>
          <w:numId w:val="7"/>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能力、性能、运行质量以及操作特性满足招标技术文件相关要求。</w:t>
      </w:r>
    </w:p>
    <w:p>
      <w:pPr>
        <w:numPr>
          <w:ilvl w:val="0"/>
          <w:numId w:val="7"/>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设备试运行、试生产达到甲方要求</w:t>
      </w:r>
      <w:r>
        <w:rPr>
          <w:rFonts w:hint="eastAsia" w:ascii="宋体" w:hAnsi="宋体" w:cs="宋体"/>
          <w:color w:val="000000" w:themeColor="text1"/>
          <w:szCs w:val="21"/>
          <w:lang w:eastAsia="zh-CN"/>
          <w14:textFill>
            <w14:solidFill>
              <w14:schemeClr w14:val="tx1"/>
            </w14:solidFill>
          </w14:textFill>
        </w:rPr>
        <w:t>。</w:t>
      </w:r>
    </w:p>
    <w:p>
      <w:pPr>
        <w:numPr>
          <w:ilvl w:val="0"/>
          <w:numId w:val="7"/>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提供设备平面布置总图、电气图、主要设备说明书，关键设备零部件的合格证等。</w:t>
      </w:r>
    </w:p>
    <w:p>
      <w:pPr>
        <w:keepNext/>
        <w:keepLines/>
        <w:numPr>
          <w:ilvl w:val="1"/>
          <w:numId w:val="1"/>
        </w:numPr>
        <w:tabs>
          <w:tab w:val="left" w:pos="420"/>
        </w:tabs>
        <w:spacing w:before="100" w:after="100" w:line="360" w:lineRule="auto"/>
        <w:jc w:val="left"/>
        <w:outlineLvl w:val="1"/>
        <w:rPr>
          <w:rFonts w:ascii="宋体" w:hAnsi="宋体" w:cs="宋体"/>
          <w:b/>
          <w:color w:val="000000" w:themeColor="text1"/>
          <w:kern w:val="0"/>
          <w:szCs w:val="21"/>
          <w14:textFill>
            <w14:solidFill>
              <w14:schemeClr w14:val="tx1"/>
            </w14:solidFill>
          </w14:textFill>
        </w:rPr>
      </w:pPr>
      <w:bookmarkStart w:id="70" w:name="_Toc10427"/>
      <w:bookmarkStart w:id="71" w:name="_Toc135583094"/>
      <w:bookmarkStart w:id="72" w:name="_Toc5632"/>
      <w:bookmarkStart w:id="73" w:name="_Toc2160"/>
      <w:bookmarkStart w:id="74" w:name="_Toc40818057"/>
      <w:bookmarkStart w:id="75" w:name="_Toc11287"/>
      <w:bookmarkStart w:id="76" w:name="_Toc28980"/>
      <w:r>
        <w:rPr>
          <w:rFonts w:hint="eastAsia" w:ascii="宋体" w:hAnsi="宋体" w:cs="宋体"/>
          <w:b/>
          <w:color w:val="000000" w:themeColor="text1"/>
          <w:kern w:val="0"/>
          <w:szCs w:val="21"/>
          <w14:textFill>
            <w14:solidFill>
              <w14:schemeClr w14:val="tx1"/>
            </w14:solidFill>
          </w14:textFill>
        </w:rPr>
        <w:t>竣工验收的资料要求</w:t>
      </w:r>
      <w:bookmarkEnd w:id="70"/>
      <w:bookmarkEnd w:id="71"/>
      <w:bookmarkEnd w:id="72"/>
      <w:bookmarkEnd w:id="73"/>
      <w:bookmarkEnd w:id="74"/>
      <w:bookmarkEnd w:id="75"/>
      <w:bookmarkEnd w:id="76"/>
    </w:p>
    <w:p>
      <w:pPr>
        <w:numPr>
          <w:ilvl w:val="0"/>
          <w:numId w:val="8"/>
        </w:numPr>
        <w:spacing w:line="360" w:lineRule="auto"/>
        <w:jc w:val="left"/>
        <w:rPr>
          <w:rFonts w:ascii="宋体" w:hAnsi="宋体" w:cs="宋体"/>
          <w:color w:val="000000" w:themeColor="text1"/>
          <w:szCs w:val="21"/>
          <w14:textFill>
            <w14:solidFill>
              <w14:schemeClr w14:val="tx1"/>
            </w14:solidFill>
          </w14:textFill>
        </w:rPr>
      </w:pPr>
      <w:bookmarkStart w:id="77" w:name="_Toc135583095"/>
      <w:r>
        <w:rPr>
          <w:rFonts w:hint="eastAsia" w:ascii="宋体" w:hAnsi="宋体" w:cs="宋体"/>
          <w:color w:val="000000" w:themeColor="text1"/>
          <w:szCs w:val="21"/>
          <w14:textFill>
            <w14:solidFill>
              <w14:schemeClr w14:val="tx1"/>
            </w14:solidFill>
          </w14:textFill>
        </w:rPr>
        <w:t>竣工验收申请报告单、商务合同、技术协议及全部附件、设备制造（出厂）发货单、到场开箱验收单等。</w:t>
      </w:r>
    </w:p>
    <w:p>
      <w:pPr>
        <w:numPr>
          <w:ilvl w:val="0"/>
          <w:numId w:val="8"/>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现场安装调试记录。</w:t>
      </w:r>
    </w:p>
    <w:p>
      <w:pPr>
        <w:numPr>
          <w:ilvl w:val="0"/>
          <w:numId w:val="8"/>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主要材料（包括电线电缆）和用于重要部位材料的出厂合格证、材质证明、检测报告</w:t>
      </w:r>
    </w:p>
    <w:p>
      <w:pPr>
        <w:numPr>
          <w:ilvl w:val="0"/>
          <w:numId w:val="8"/>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乙方设备制造厂提供的产品说明书（安装、调试、操作、维保、故障排除）、</w:t>
      </w:r>
      <w:r>
        <w:rPr>
          <w:rFonts w:hint="eastAsia"/>
          <w:lang w:val="en-US" w:eastAsia="zh-CN"/>
        </w:rPr>
        <w:t>检测报告、</w:t>
      </w:r>
      <w:r>
        <w:rPr>
          <w:rFonts w:hint="eastAsia" w:ascii="宋体" w:hAnsi="宋体" w:cs="宋体"/>
          <w:color w:val="000000" w:themeColor="text1"/>
          <w:szCs w:val="21"/>
          <w14:textFill>
            <w14:solidFill>
              <w14:schemeClr w14:val="tx1"/>
            </w14:solidFill>
          </w14:textFill>
        </w:rPr>
        <w:t>合格证、备品备件清单（</w:t>
      </w:r>
      <w:bookmarkStart w:id="91" w:name="_GoBack"/>
      <w:bookmarkEnd w:id="91"/>
      <w:r>
        <w:rPr>
          <w:rFonts w:hint="eastAsia" w:ascii="宋体" w:hAnsi="宋体" w:cs="宋体"/>
          <w:color w:val="000000" w:themeColor="text1"/>
          <w:szCs w:val="21"/>
          <w14:textFill>
            <w14:solidFill>
              <w14:schemeClr w14:val="tx1"/>
            </w14:solidFill>
          </w14:textFill>
        </w:rPr>
        <w:t>精确到每个系统每台设备，包含名称、品牌、规格型号、数量、备品备件图册）</w:t>
      </w:r>
    </w:p>
    <w:p>
      <w:pPr>
        <w:numPr>
          <w:ilvl w:val="0"/>
          <w:numId w:val="8"/>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在电柜内增加文件夹装置，并将所有的电气图纸、机械图纸、说明书等设备资料的一份副本放进文件夹内，便于将来设备维修维护时使用。</w:t>
      </w:r>
    </w:p>
    <w:p>
      <w:pPr>
        <w:numPr>
          <w:ilvl w:val="0"/>
          <w:numId w:val="8"/>
        </w:numPr>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电气资料提供如下：</w:t>
      </w:r>
    </w:p>
    <w:tbl>
      <w:tblPr>
        <w:tblStyle w:val="7"/>
        <w:tblW w:w="4999" w:type="pct"/>
        <w:tblInd w:w="0" w:type="dxa"/>
        <w:tblLayout w:type="autofit"/>
        <w:tblCellMar>
          <w:top w:w="0" w:type="dxa"/>
          <w:left w:w="0" w:type="dxa"/>
          <w:bottom w:w="0" w:type="dxa"/>
          <w:right w:w="0" w:type="dxa"/>
        </w:tblCellMar>
      </w:tblPr>
      <w:tblGrid>
        <w:gridCol w:w="1866"/>
        <w:gridCol w:w="6462"/>
      </w:tblGrid>
      <w:tr>
        <w:tblPrEx>
          <w:tblCellMar>
            <w:top w:w="0" w:type="dxa"/>
            <w:left w:w="0" w:type="dxa"/>
            <w:bottom w:w="0" w:type="dxa"/>
            <w:right w:w="0" w:type="dxa"/>
          </w:tblCellMar>
        </w:tblPrEx>
        <w:trPr>
          <w:trHeight w:val="409" w:hRule="atLeast"/>
        </w:trPr>
        <w:tc>
          <w:tcPr>
            <w:tcW w:w="112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bCs/>
                <w:color w:val="000000" w:themeColor="text1"/>
                <w:szCs w:val="21"/>
                <w14:textFill>
                  <w14:solidFill>
                    <w14:schemeClr w14:val="tx1"/>
                  </w14:solidFill>
                </w14:textFill>
              </w:rPr>
            </w:pPr>
          </w:p>
        </w:tc>
        <w:tc>
          <w:tcPr>
            <w:tcW w:w="387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设备名称型号</w:t>
            </w:r>
          </w:p>
        </w:tc>
      </w:tr>
      <w:tr>
        <w:tblPrEx>
          <w:tblCellMar>
            <w:top w:w="0" w:type="dxa"/>
            <w:left w:w="0" w:type="dxa"/>
            <w:bottom w:w="0" w:type="dxa"/>
            <w:right w:w="0" w:type="dxa"/>
          </w:tblCellMar>
        </w:tblPrEx>
        <w:trPr>
          <w:trHeight w:val="416" w:hRule="atLeast"/>
        </w:trPr>
        <w:tc>
          <w:tcPr>
            <w:tcW w:w="1120"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3879"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w:t>
            </w:r>
          </w:p>
        </w:tc>
      </w:tr>
      <w:tr>
        <w:tblPrEx>
          <w:tblCellMar>
            <w:top w:w="0" w:type="dxa"/>
            <w:left w:w="0" w:type="dxa"/>
            <w:bottom w:w="0" w:type="dxa"/>
            <w:right w:w="0" w:type="dxa"/>
          </w:tblCellMar>
        </w:tblPrEx>
        <w:trPr>
          <w:trHeight w:val="437" w:hRule="atLeast"/>
        </w:trPr>
        <w:tc>
          <w:tcPr>
            <w:tcW w:w="112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387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电气原理图。</w:t>
            </w:r>
          </w:p>
        </w:tc>
      </w:tr>
      <w:tr>
        <w:tblPrEx>
          <w:tblCellMar>
            <w:top w:w="0" w:type="dxa"/>
            <w:left w:w="0" w:type="dxa"/>
            <w:bottom w:w="0" w:type="dxa"/>
            <w:right w:w="0" w:type="dxa"/>
          </w:tblCellMar>
        </w:tblPrEx>
        <w:trPr>
          <w:trHeight w:val="437" w:hRule="atLeast"/>
        </w:trPr>
        <w:tc>
          <w:tcPr>
            <w:tcW w:w="112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387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设备工艺程序（PLC&amp;HMI）。</w:t>
            </w:r>
          </w:p>
        </w:tc>
      </w:tr>
      <w:tr>
        <w:tblPrEx>
          <w:tblCellMar>
            <w:top w:w="0" w:type="dxa"/>
            <w:left w:w="0" w:type="dxa"/>
            <w:bottom w:w="0" w:type="dxa"/>
            <w:right w:w="0" w:type="dxa"/>
          </w:tblCellMar>
        </w:tblPrEx>
        <w:trPr>
          <w:trHeight w:val="437" w:hRule="atLeast"/>
        </w:trPr>
        <w:tc>
          <w:tcPr>
            <w:tcW w:w="112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387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各软件密码和操作权限密码。</w:t>
            </w:r>
          </w:p>
        </w:tc>
      </w:tr>
      <w:tr>
        <w:tblPrEx>
          <w:tblCellMar>
            <w:top w:w="0" w:type="dxa"/>
            <w:left w:w="0" w:type="dxa"/>
            <w:bottom w:w="0" w:type="dxa"/>
            <w:right w:w="0" w:type="dxa"/>
          </w:tblCellMar>
        </w:tblPrEx>
        <w:trPr>
          <w:trHeight w:val="437" w:hRule="atLeast"/>
        </w:trPr>
        <w:tc>
          <w:tcPr>
            <w:tcW w:w="112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387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设备所涉及专业软件的安装包。</w:t>
            </w:r>
          </w:p>
        </w:tc>
      </w:tr>
      <w:tr>
        <w:tblPrEx>
          <w:tblCellMar>
            <w:top w:w="0" w:type="dxa"/>
            <w:left w:w="0" w:type="dxa"/>
            <w:bottom w:w="0" w:type="dxa"/>
            <w:right w:w="0" w:type="dxa"/>
          </w:tblCellMar>
        </w:tblPrEx>
        <w:trPr>
          <w:trHeight w:val="437" w:hRule="atLeast"/>
        </w:trPr>
        <w:tc>
          <w:tcPr>
            <w:tcW w:w="112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387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变频器和伺服驱动器参数设定清单。</w:t>
            </w:r>
          </w:p>
        </w:tc>
      </w:tr>
      <w:tr>
        <w:tblPrEx>
          <w:tblCellMar>
            <w:top w:w="0" w:type="dxa"/>
            <w:left w:w="0" w:type="dxa"/>
            <w:bottom w:w="0" w:type="dxa"/>
            <w:right w:w="0" w:type="dxa"/>
          </w:tblCellMar>
        </w:tblPrEx>
        <w:trPr>
          <w:trHeight w:val="437" w:hRule="atLeast"/>
        </w:trPr>
        <w:tc>
          <w:tcPr>
            <w:tcW w:w="112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387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系统所用到的仪器仪表参数设定清单。</w:t>
            </w:r>
          </w:p>
        </w:tc>
      </w:tr>
      <w:tr>
        <w:tblPrEx>
          <w:tblCellMar>
            <w:top w:w="0" w:type="dxa"/>
            <w:left w:w="0" w:type="dxa"/>
            <w:bottom w:w="0" w:type="dxa"/>
            <w:right w:w="0" w:type="dxa"/>
          </w:tblCellMar>
        </w:tblPrEx>
        <w:trPr>
          <w:trHeight w:val="437" w:hRule="atLeast"/>
        </w:trPr>
        <w:tc>
          <w:tcPr>
            <w:tcW w:w="112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387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电器元件位置图。</w:t>
            </w:r>
          </w:p>
        </w:tc>
      </w:tr>
      <w:tr>
        <w:tblPrEx>
          <w:tblCellMar>
            <w:top w:w="0" w:type="dxa"/>
            <w:left w:w="0" w:type="dxa"/>
            <w:bottom w:w="0" w:type="dxa"/>
            <w:right w:w="0" w:type="dxa"/>
          </w:tblCellMar>
        </w:tblPrEx>
        <w:trPr>
          <w:trHeight w:val="437" w:hRule="atLeast"/>
        </w:trPr>
        <w:tc>
          <w:tcPr>
            <w:tcW w:w="112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387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设备操作说明书。</w:t>
            </w:r>
          </w:p>
        </w:tc>
      </w:tr>
      <w:tr>
        <w:tblPrEx>
          <w:tblCellMar>
            <w:top w:w="0" w:type="dxa"/>
            <w:left w:w="0" w:type="dxa"/>
            <w:bottom w:w="0" w:type="dxa"/>
            <w:right w:w="0" w:type="dxa"/>
          </w:tblCellMar>
        </w:tblPrEx>
        <w:trPr>
          <w:trHeight w:val="437" w:hRule="atLeast"/>
        </w:trPr>
        <w:tc>
          <w:tcPr>
            <w:tcW w:w="112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387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设备维保手册（含各元件说明书、用户手册）。</w:t>
            </w:r>
          </w:p>
        </w:tc>
      </w:tr>
      <w:tr>
        <w:tblPrEx>
          <w:tblCellMar>
            <w:top w:w="0" w:type="dxa"/>
            <w:left w:w="0" w:type="dxa"/>
            <w:bottom w:w="0" w:type="dxa"/>
            <w:right w:w="0" w:type="dxa"/>
          </w:tblCellMar>
        </w:tblPrEx>
        <w:trPr>
          <w:trHeight w:val="437" w:hRule="atLeast"/>
        </w:trPr>
        <w:tc>
          <w:tcPr>
            <w:tcW w:w="112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387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电气元件清单（包含产品名称、型号、规格）。</w:t>
            </w:r>
          </w:p>
        </w:tc>
      </w:tr>
    </w:tbl>
    <w:p>
      <w:pP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注：上述资料一式四份，并按甲方要求装订成册</w:t>
      </w:r>
    </w:p>
    <w:p>
      <w:pPr>
        <w:keepNext/>
        <w:keepLines/>
        <w:numPr>
          <w:ilvl w:val="1"/>
          <w:numId w:val="1"/>
        </w:numPr>
        <w:tabs>
          <w:tab w:val="left" w:pos="420"/>
        </w:tabs>
        <w:spacing w:before="100" w:after="100" w:line="360" w:lineRule="auto"/>
        <w:jc w:val="left"/>
        <w:outlineLvl w:val="1"/>
        <w:rPr>
          <w:rFonts w:ascii="宋体" w:hAnsi="宋体" w:cs="宋体"/>
          <w:b/>
          <w:color w:val="000000" w:themeColor="text1"/>
          <w:kern w:val="0"/>
          <w:szCs w:val="21"/>
          <w14:textFill>
            <w14:solidFill>
              <w14:schemeClr w14:val="tx1"/>
            </w14:solidFill>
          </w14:textFill>
        </w:rPr>
      </w:pPr>
      <w:bookmarkStart w:id="78" w:name="_Toc21818"/>
      <w:bookmarkStart w:id="79" w:name="_Toc20095"/>
      <w:bookmarkStart w:id="80" w:name="_Toc13160"/>
      <w:bookmarkStart w:id="81" w:name="_Toc4894"/>
      <w:bookmarkStart w:id="82" w:name="_Toc32522"/>
      <w:r>
        <w:rPr>
          <w:rFonts w:hint="eastAsia" w:ascii="宋体" w:hAnsi="宋体" w:cs="宋体"/>
          <w:b/>
          <w:color w:val="000000" w:themeColor="text1"/>
          <w:kern w:val="0"/>
          <w:szCs w:val="21"/>
          <w14:textFill>
            <w14:solidFill>
              <w14:schemeClr w14:val="tx1"/>
            </w14:solidFill>
          </w14:textFill>
        </w:rPr>
        <w:t>其他</w:t>
      </w:r>
      <w:bookmarkEnd w:id="77"/>
      <w:bookmarkEnd w:id="78"/>
      <w:bookmarkEnd w:id="79"/>
      <w:bookmarkEnd w:id="80"/>
      <w:r>
        <w:rPr>
          <w:rFonts w:hint="eastAsia" w:ascii="宋体" w:hAnsi="宋体" w:cs="宋体"/>
          <w:b/>
          <w:color w:val="000000" w:themeColor="text1"/>
          <w:kern w:val="0"/>
          <w:szCs w:val="21"/>
          <w14:textFill>
            <w14:solidFill>
              <w14:schemeClr w14:val="tx1"/>
            </w14:solidFill>
          </w14:textFill>
        </w:rPr>
        <w:t>说明</w:t>
      </w:r>
      <w:bookmarkEnd w:id="81"/>
      <w:bookmarkEnd w:id="82"/>
    </w:p>
    <w:p>
      <w:pPr>
        <w:numPr>
          <w:ilvl w:val="0"/>
          <w:numId w:val="9"/>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甲方保留修改设计图纸的权利（具体实施要求另行商定）。</w:t>
      </w:r>
    </w:p>
    <w:p>
      <w:pPr>
        <w:numPr>
          <w:ilvl w:val="0"/>
          <w:numId w:val="9"/>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设备的安装位置和方式符合相关法律法规。</w:t>
      </w:r>
    </w:p>
    <w:p>
      <w:pPr>
        <w:pStyle w:val="2"/>
        <w:numPr>
          <w:ilvl w:val="0"/>
          <w:numId w:val="1"/>
        </w:numPr>
        <w:tabs>
          <w:tab w:val="left" w:pos="420"/>
        </w:tabs>
        <w:autoSpaceDE/>
        <w:autoSpaceDN/>
        <w:adjustRightInd/>
        <w:spacing w:before="100" w:after="100" w:line="360" w:lineRule="auto"/>
        <w:jc w:val="left"/>
        <w:rPr>
          <w:rFonts w:hAnsi="宋体" w:cs="宋体"/>
          <w:color w:val="000000" w:themeColor="text1"/>
          <w:sz w:val="21"/>
          <w:szCs w:val="21"/>
          <w14:textFill>
            <w14:solidFill>
              <w14:schemeClr w14:val="tx1"/>
            </w14:solidFill>
          </w14:textFill>
        </w:rPr>
      </w:pPr>
      <w:bookmarkStart w:id="83" w:name="_Toc40818058"/>
      <w:bookmarkStart w:id="84" w:name="_Toc17149"/>
      <w:bookmarkStart w:id="85" w:name="_Toc135583096"/>
      <w:bookmarkStart w:id="86" w:name="_Toc21036"/>
      <w:bookmarkStart w:id="87" w:name="_Toc32520"/>
      <w:bookmarkStart w:id="88" w:name="_Toc12188"/>
      <w:bookmarkStart w:id="89" w:name="_Toc28843"/>
      <w:bookmarkStart w:id="90" w:name="_Toc4388_WPSOffice_Level1"/>
      <w:r>
        <w:rPr>
          <w:rFonts w:hint="eastAsia" w:hAnsi="宋体" w:cs="宋体"/>
          <w:color w:val="000000" w:themeColor="text1"/>
          <w:sz w:val="21"/>
          <w:szCs w:val="21"/>
          <w14:textFill>
            <w14:solidFill>
              <w14:schemeClr w14:val="tx1"/>
            </w14:solidFill>
          </w14:textFill>
        </w:rPr>
        <w:t xml:space="preserve"> 质量保证及售后服务要求</w:t>
      </w:r>
      <w:bookmarkEnd w:id="83"/>
      <w:bookmarkEnd w:id="84"/>
      <w:bookmarkEnd w:id="85"/>
      <w:bookmarkEnd w:id="86"/>
      <w:bookmarkEnd w:id="87"/>
      <w:bookmarkEnd w:id="88"/>
      <w:bookmarkEnd w:id="89"/>
      <w:bookmarkEnd w:id="90"/>
    </w:p>
    <w:p>
      <w:pPr>
        <w:numPr>
          <w:ilvl w:val="0"/>
          <w:numId w:val="10"/>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质量保证体系：乙方建立贯穿整个建造过程的全面质量管理体系，甲方有权要求乙方对其质量管理体系进行改进。</w:t>
      </w:r>
      <w:r>
        <w:rPr>
          <w:rFonts w:hint="eastAsia"/>
          <w:lang w:val="en-US" w:eastAsia="zh-CN"/>
        </w:rPr>
        <w:t>若甲方有规定的适用的过程控制要求，按甲方要求执行。</w:t>
      </w:r>
    </w:p>
    <w:p>
      <w:pPr>
        <w:numPr>
          <w:ilvl w:val="0"/>
          <w:numId w:val="10"/>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项目管理方案：乙方对于酿造设备的项目建造有一个完整的项目管理方案，提供项目管理文件供甲方认可，甲方有权要求乙方对其项目管理方案进行改进，为双方在项目管理方面的密切配合建立良好的基础。</w:t>
      </w:r>
    </w:p>
    <w:p>
      <w:pPr>
        <w:numPr>
          <w:ilvl w:val="0"/>
          <w:numId w:val="10"/>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交工验收完成后质量保证期36 个月</w:t>
      </w:r>
      <w:r>
        <w:rPr>
          <w:rFonts w:hint="eastAsia" w:ascii="宋体" w:hAnsi="宋体" w:cs="宋体"/>
          <w:color w:val="000000" w:themeColor="text1"/>
          <w:szCs w:val="21"/>
          <w:lang w:val="en-US" w:eastAsia="zh-CN"/>
          <w14:textFill>
            <w14:solidFill>
              <w14:schemeClr w14:val="tx1"/>
            </w14:solidFill>
          </w14:textFill>
        </w:rPr>
        <w:t>或按合同规定</w:t>
      </w:r>
      <w:r>
        <w:rPr>
          <w:rFonts w:hint="eastAsia" w:ascii="宋体" w:hAnsi="宋体" w:cs="宋体"/>
          <w:color w:val="000000" w:themeColor="text1"/>
          <w:szCs w:val="21"/>
          <w14:textFill>
            <w14:solidFill>
              <w14:schemeClr w14:val="tx1"/>
            </w14:solidFill>
          </w14:textFill>
        </w:rPr>
        <w:t>。</w:t>
      </w:r>
    </w:p>
    <w:p>
      <w:pPr>
        <w:numPr>
          <w:ilvl w:val="0"/>
          <w:numId w:val="10"/>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乙方在国内拥有完整的售后服务体系，包括办事处、备品仓库、工厂，以便为快速服务提供充分的保障。乙方可做到有问题48小时内到达现场，主要零部件或及备件能够在双方沟通后约定时间内供应。</w:t>
      </w:r>
    </w:p>
    <w:p>
      <w:pPr>
        <w:numPr>
          <w:ilvl w:val="0"/>
          <w:numId w:val="10"/>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在质量保证期外，乙方能够继续提供良好的售后服务和维修保养方案。</w:t>
      </w:r>
    </w:p>
    <w:p>
      <w:pPr>
        <w:numPr>
          <w:ilvl w:val="0"/>
          <w:numId w:val="10"/>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交工验收后乙方有定期回访，保修期外每年提供2次免费服务，只收取配件费用；保修期自甲方正式验收合格、签署正式验收确认单次日起算；设备保修期满后乙方免费提供一次全面的大修技术指导服务，同时提供完善的大修方案和大修验收标准。</w:t>
      </w:r>
    </w:p>
    <w:p>
      <w:pPr>
        <w:numPr>
          <w:ilvl w:val="0"/>
          <w:numId w:val="10"/>
        </w:numPr>
        <w:spacing w:line="360" w:lineRule="auto"/>
        <w:jc w:val="left"/>
      </w:pPr>
      <w:r>
        <w:rPr>
          <w:rFonts w:hint="eastAsia" w:ascii="宋体" w:hAnsi="宋体" w:cs="宋体"/>
          <w:color w:val="000000" w:themeColor="text1"/>
          <w:szCs w:val="21"/>
          <w14:textFill>
            <w14:solidFill>
              <w14:schemeClr w14:val="tx1"/>
            </w14:solidFill>
          </w14:textFill>
        </w:rPr>
        <w:t>乙方向甲方</w:t>
      </w:r>
      <w:r>
        <w:rPr>
          <w:rFonts w:hint="eastAsia" w:ascii="宋体" w:hAnsi="宋体" w:cs="宋体"/>
          <w:color w:val="000000" w:themeColor="text1"/>
          <w:szCs w:val="21"/>
          <w:lang w:val="en-US" w:eastAsia="zh-CN"/>
          <w14:textFill>
            <w14:solidFill>
              <w14:schemeClr w14:val="tx1"/>
            </w14:solidFill>
          </w14:textFill>
        </w:rPr>
        <w:t>及其用户</w:t>
      </w:r>
      <w:r>
        <w:rPr>
          <w:rFonts w:hint="eastAsia" w:ascii="宋体" w:hAnsi="宋体" w:cs="宋体"/>
          <w:color w:val="000000" w:themeColor="text1"/>
          <w:szCs w:val="21"/>
          <w14:textFill>
            <w14:solidFill>
              <w14:schemeClr w14:val="tx1"/>
            </w14:solidFill>
          </w14:textFill>
        </w:rPr>
        <w:t>免费提供操作、日常保养培训，制定培训计划，确保甲方操作工和维护人员在设备投入运行前具备独立操作技能。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echnic">
    <w:panose1 w:val="00000400000000000000"/>
    <w:charset w:val="02"/>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s>
    </w:pP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thickThinSmallGap" w:color="622423" w:sz="24" w:space="1"/>
      </w:pBdr>
      <w:jc w:val="left"/>
      <w:rPr>
        <w:rFonts w:hint="eastAsia" w:eastAsia="宋体"/>
        <w:lang w:eastAsia="zh-CN"/>
      </w:rPr>
    </w:pPr>
    <w:r>
      <w:rPr>
        <w:rFonts w:hint="eastAsia" w:ascii="宋体" w:hAnsi="宋体"/>
        <w:b/>
        <w:sz w:val="21"/>
        <w:szCs w:val="21"/>
      </w:rPr>
      <w:t>【</w:t>
    </w:r>
    <w:r>
      <w:rPr>
        <w:rFonts w:hint="eastAsia" w:ascii="宋体" w:hAnsi="宋体"/>
        <w:b/>
        <w:sz w:val="21"/>
        <w:szCs w:val="21"/>
        <w:lang w:val="en-US" w:eastAsia="zh-CN"/>
      </w:rPr>
      <w:t>智通</w:t>
    </w:r>
    <w:r>
      <w:rPr>
        <w:rFonts w:hint="eastAsia" w:ascii="宋体" w:hAnsi="宋体"/>
        <w:b/>
        <w:sz w:val="21"/>
        <w:szCs w:val="21"/>
      </w:rPr>
      <w:t>】设备</w:t>
    </w:r>
    <w:r>
      <w:rPr>
        <w:rFonts w:hint="eastAsia" w:ascii="宋体" w:hAnsi="宋体"/>
        <w:b/>
        <w:sz w:val="21"/>
        <w:szCs w:val="21"/>
        <w:lang w:val="en-US" w:eastAsia="zh-CN"/>
      </w:rPr>
      <w:t>采购</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8C6BA"/>
    <w:multiLevelType w:val="multilevel"/>
    <w:tmpl w:val="9C58C6BA"/>
    <w:lvl w:ilvl="0" w:tentative="0">
      <w:start w:val="1"/>
      <w:numFmt w:val="decimal"/>
      <w:suff w:val="space"/>
      <w:lvlText w:val="%1."/>
      <w:lvlJc w:val="left"/>
      <w:pPr>
        <w:tabs>
          <w:tab w:val="left" w:pos="0"/>
        </w:tabs>
        <w:ind w:left="425" w:hanging="425"/>
      </w:pPr>
      <w:rPr>
        <w:rFonts w:hint="default" w:ascii="宋体" w:hAnsi="宋体" w:eastAsia="宋体" w:cs="宋体"/>
      </w:rPr>
    </w:lvl>
    <w:lvl w:ilvl="1" w:tentative="0">
      <w:start w:val="1"/>
      <w:numFmt w:val="decimal"/>
      <w:suff w:val="space"/>
      <w:lvlText w:val="%1.%2."/>
      <w:lvlJc w:val="left"/>
      <w:pPr>
        <w:tabs>
          <w:tab w:val="left" w:pos="0"/>
        </w:tabs>
        <w:ind w:left="567" w:hanging="567"/>
      </w:pPr>
      <w:rPr>
        <w:rFonts w:hint="default" w:ascii="宋体" w:hAnsi="宋体" w:eastAsia="宋体" w:cs="宋体"/>
      </w:rPr>
    </w:lvl>
    <w:lvl w:ilvl="2" w:tentative="0">
      <w:start w:val="1"/>
      <w:numFmt w:val="decimal"/>
      <w:suff w:val="space"/>
      <w:lvlText w:val="%1.%2.%3."/>
      <w:lvlJc w:val="left"/>
      <w:pPr>
        <w:tabs>
          <w:tab w:val="left" w:pos="0"/>
        </w:tabs>
        <w:ind w:left="709" w:hanging="709"/>
      </w:pPr>
      <w:rPr>
        <w:rFonts w:hint="default" w:ascii="宋体" w:hAnsi="宋体" w:eastAsia="宋体" w:cs="宋体"/>
      </w:rPr>
    </w:lvl>
    <w:lvl w:ilvl="3" w:tentative="0">
      <w:start w:val="1"/>
      <w:numFmt w:val="decimal"/>
      <w:suff w:val="space"/>
      <w:lvlText w:val="%1.%2.%3.%4."/>
      <w:lvlJc w:val="left"/>
      <w:pPr>
        <w:tabs>
          <w:tab w:val="left" w:pos="0"/>
        </w:tabs>
        <w:ind w:left="1130" w:hanging="850"/>
      </w:pPr>
      <w:rPr>
        <w:rFonts w:hint="default" w:ascii="宋体" w:hAnsi="宋体" w:eastAsia="宋体" w:cs="宋体"/>
        <w:color w:val="000000" w:themeColor="text1"/>
        <w14:textFill>
          <w14:solidFill>
            <w14:schemeClr w14:val="tx1"/>
          </w14:solidFill>
        </w14:textFill>
      </w:rPr>
    </w:lvl>
    <w:lvl w:ilvl="4" w:tentative="0">
      <w:start w:val="1"/>
      <w:numFmt w:val="decimal"/>
      <w:suff w:val="space"/>
      <w:lvlText w:val="%1.%2.%3.%4.%5."/>
      <w:lvlJc w:val="left"/>
      <w:pPr>
        <w:tabs>
          <w:tab w:val="left" w:pos="0"/>
        </w:tabs>
        <w:ind w:left="0" w:firstLine="0"/>
      </w:pPr>
      <w:rPr>
        <w:rFonts w:hint="default" w:ascii="宋体" w:hAnsi="宋体" w:eastAsia="宋体" w:cs="宋体"/>
      </w:rPr>
    </w:lvl>
    <w:lvl w:ilvl="5" w:tentative="0">
      <w:start w:val="1"/>
      <w:numFmt w:val="decimal"/>
      <w:suff w:val="space"/>
      <w:lvlText w:val="%1.%2.%3.%4.%5.%6."/>
      <w:lvlJc w:val="left"/>
      <w:pPr>
        <w:tabs>
          <w:tab w:val="left" w:pos="0"/>
        </w:tabs>
        <w:ind w:left="0" w:firstLine="0"/>
      </w:pPr>
      <w:rPr>
        <w:rFonts w:hint="default" w:ascii="宋体" w:hAnsi="宋体" w:eastAsia="宋体" w:cs="宋体"/>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B376886A"/>
    <w:multiLevelType w:val="singleLevel"/>
    <w:tmpl w:val="B376886A"/>
    <w:lvl w:ilvl="0" w:tentative="0">
      <w:start w:val="1"/>
      <w:numFmt w:val="bullet"/>
      <w:lvlText w:val=""/>
      <w:lvlJc w:val="left"/>
      <w:pPr>
        <w:ind w:left="420" w:hanging="420"/>
      </w:pPr>
      <w:rPr>
        <w:rFonts w:hint="default" w:ascii="Wingdings" w:hAnsi="Wingdings"/>
      </w:rPr>
    </w:lvl>
  </w:abstractNum>
  <w:abstractNum w:abstractNumId="2">
    <w:nsid w:val="B4A4EDF0"/>
    <w:multiLevelType w:val="singleLevel"/>
    <w:tmpl w:val="B4A4EDF0"/>
    <w:lvl w:ilvl="0" w:tentative="0">
      <w:start w:val="1"/>
      <w:numFmt w:val="decimal"/>
      <w:lvlText w:val="(%1)"/>
      <w:lvlJc w:val="left"/>
      <w:pPr>
        <w:ind w:left="425" w:hanging="425"/>
      </w:pPr>
      <w:rPr>
        <w:rFonts w:hint="default" w:ascii="宋体" w:hAnsi="宋体" w:eastAsia="宋体" w:cstheme="minorEastAsia"/>
        <w:sz w:val="24"/>
        <w:szCs w:val="24"/>
      </w:rPr>
    </w:lvl>
  </w:abstractNum>
  <w:abstractNum w:abstractNumId="3">
    <w:nsid w:val="D25DFE89"/>
    <w:multiLevelType w:val="singleLevel"/>
    <w:tmpl w:val="D25DFE89"/>
    <w:lvl w:ilvl="0" w:tentative="0">
      <w:start w:val="1"/>
      <w:numFmt w:val="decimal"/>
      <w:lvlText w:val="(%1)"/>
      <w:lvlJc w:val="left"/>
      <w:pPr>
        <w:ind w:left="425" w:hanging="425"/>
      </w:pPr>
      <w:rPr>
        <w:rFonts w:hint="default" w:ascii="宋体" w:hAnsi="宋体" w:eastAsia="宋体" w:cstheme="minorEastAsia"/>
        <w:sz w:val="24"/>
        <w:szCs w:val="24"/>
      </w:rPr>
    </w:lvl>
  </w:abstractNum>
  <w:abstractNum w:abstractNumId="4">
    <w:nsid w:val="F2ED2253"/>
    <w:multiLevelType w:val="singleLevel"/>
    <w:tmpl w:val="F2ED2253"/>
    <w:lvl w:ilvl="0" w:tentative="0">
      <w:start w:val="1"/>
      <w:numFmt w:val="decimal"/>
      <w:lvlText w:val="(%1)"/>
      <w:lvlJc w:val="left"/>
      <w:pPr>
        <w:ind w:left="425" w:hanging="425"/>
      </w:pPr>
      <w:rPr>
        <w:rFonts w:hint="default" w:ascii="宋体" w:hAnsi="宋体" w:eastAsia="宋体" w:cstheme="minorEastAsia"/>
        <w:sz w:val="24"/>
        <w:szCs w:val="24"/>
      </w:rPr>
    </w:lvl>
  </w:abstractNum>
  <w:abstractNum w:abstractNumId="5">
    <w:nsid w:val="FC7579DE"/>
    <w:multiLevelType w:val="singleLevel"/>
    <w:tmpl w:val="FC7579DE"/>
    <w:lvl w:ilvl="0" w:tentative="0">
      <w:start w:val="1"/>
      <w:numFmt w:val="decimal"/>
      <w:lvlText w:val="(%1)"/>
      <w:lvlJc w:val="left"/>
      <w:pPr>
        <w:ind w:left="425" w:hanging="425"/>
      </w:pPr>
      <w:rPr>
        <w:rFonts w:hint="default" w:ascii="宋体" w:hAnsi="宋体" w:eastAsia="宋体" w:cstheme="minorEastAsia"/>
        <w:sz w:val="24"/>
        <w:szCs w:val="24"/>
      </w:rPr>
    </w:lvl>
  </w:abstractNum>
  <w:abstractNum w:abstractNumId="6">
    <w:nsid w:val="02C38EBC"/>
    <w:multiLevelType w:val="singleLevel"/>
    <w:tmpl w:val="02C38EBC"/>
    <w:lvl w:ilvl="0" w:tentative="0">
      <w:start w:val="1"/>
      <w:numFmt w:val="decimal"/>
      <w:lvlText w:val="(%1)"/>
      <w:lvlJc w:val="left"/>
      <w:pPr>
        <w:ind w:left="425" w:hanging="425"/>
      </w:pPr>
      <w:rPr>
        <w:rFonts w:hint="default" w:ascii="宋体" w:hAnsi="宋体" w:eastAsia="宋体" w:cstheme="minorEastAsia"/>
        <w:sz w:val="24"/>
        <w:szCs w:val="24"/>
      </w:rPr>
    </w:lvl>
  </w:abstractNum>
  <w:abstractNum w:abstractNumId="7">
    <w:nsid w:val="0B4B27C7"/>
    <w:multiLevelType w:val="singleLevel"/>
    <w:tmpl w:val="0B4B27C7"/>
    <w:lvl w:ilvl="0" w:tentative="0">
      <w:start w:val="1"/>
      <w:numFmt w:val="decimal"/>
      <w:lvlText w:val="(%1)"/>
      <w:lvlJc w:val="left"/>
      <w:pPr>
        <w:ind w:left="425" w:hanging="425"/>
      </w:pPr>
      <w:rPr>
        <w:rFonts w:hint="default" w:ascii="宋体" w:hAnsi="宋体" w:eastAsia="宋体" w:cstheme="minorEastAsia"/>
        <w:sz w:val="24"/>
        <w:szCs w:val="24"/>
      </w:rPr>
    </w:lvl>
  </w:abstractNum>
  <w:abstractNum w:abstractNumId="8">
    <w:nsid w:val="2C90D853"/>
    <w:multiLevelType w:val="singleLevel"/>
    <w:tmpl w:val="2C90D853"/>
    <w:lvl w:ilvl="0" w:tentative="0">
      <w:start w:val="1"/>
      <w:numFmt w:val="decimal"/>
      <w:lvlText w:val="(%1)"/>
      <w:lvlJc w:val="left"/>
      <w:pPr>
        <w:ind w:left="425" w:hanging="425"/>
      </w:pPr>
      <w:rPr>
        <w:rFonts w:hint="default" w:ascii="宋体" w:hAnsi="宋体" w:eastAsia="宋体" w:cstheme="minorEastAsia"/>
        <w:sz w:val="24"/>
        <w:szCs w:val="24"/>
      </w:rPr>
    </w:lvl>
  </w:abstractNum>
  <w:abstractNum w:abstractNumId="9">
    <w:nsid w:val="5D99F4D1"/>
    <w:multiLevelType w:val="singleLevel"/>
    <w:tmpl w:val="5D99F4D1"/>
    <w:lvl w:ilvl="0" w:tentative="0">
      <w:start w:val="1"/>
      <w:numFmt w:val="decimal"/>
      <w:lvlText w:val="(%1)"/>
      <w:lvlJc w:val="left"/>
      <w:pPr>
        <w:ind w:left="425" w:hanging="425"/>
      </w:pPr>
      <w:rPr>
        <w:rFonts w:hint="default" w:ascii="宋体" w:hAnsi="宋体" w:eastAsia="宋体" w:cstheme="minorEastAsia"/>
        <w:sz w:val="24"/>
        <w:szCs w:val="24"/>
      </w:rPr>
    </w:lvl>
  </w:abstractNum>
  <w:num w:numId="1">
    <w:abstractNumId w:val="0"/>
  </w:num>
  <w:num w:numId="2">
    <w:abstractNumId w:val="7"/>
  </w:num>
  <w:num w:numId="3">
    <w:abstractNumId w:val="1"/>
  </w:num>
  <w:num w:numId="4">
    <w:abstractNumId w:val="3"/>
  </w:num>
  <w:num w:numId="5">
    <w:abstractNumId w:val="9"/>
  </w:num>
  <w:num w:numId="6">
    <w:abstractNumId w:val="5"/>
  </w:num>
  <w:num w:numId="7">
    <w:abstractNumId w:val="4"/>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zg0ZjQ0MTVjOTQxOWYxMDQ2OTk2OGU4MGM5OTUifQ=="/>
  </w:docVars>
  <w:rsids>
    <w:rsidRoot w:val="4D924F57"/>
    <w:rsid w:val="012F7854"/>
    <w:rsid w:val="039E11BA"/>
    <w:rsid w:val="05C23886"/>
    <w:rsid w:val="079C3C62"/>
    <w:rsid w:val="07E15B19"/>
    <w:rsid w:val="08111614"/>
    <w:rsid w:val="0AA3355A"/>
    <w:rsid w:val="0AE4604C"/>
    <w:rsid w:val="112F518C"/>
    <w:rsid w:val="13B54A2A"/>
    <w:rsid w:val="142B6A02"/>
    <w:rsid w:val="19B337B9"/>
    <w:rsid w:val="19CD414F"/>
    <w:rsid w:val="1CDE27F5"/>
    <w:rsid w:val="1CED1E70"/>
    <w:rsid w:val="1D440F94"/>
    <w:rsid w:val="20BB1D43"/>
    <w:rsid w:val="21901AD1"/>
    <w:rsid w:val="219D4228"/>
    <w:rsid w:val="2DA6421A"/>
    <w:rsid w:val="2E5A2590"/>
    <w:rsid w:val="316B62D0"/>
    <w:rsid w:val="327A3C9B"/>
    <w:rsid w:val="32FE39EE"/>
    <w:rsid w:val="38E42297"/>
    <w:rsid w:val="3EC15781"/>
    <w:rsid w:val="43F14D5A"/>
    <w:rsid w:val="4709403B"/>
    <w:rsid w:val="4D861C69"/>
    <w:rsid w:val="4D924F57"/>
    <w:rsid w:val="4D9E473D"/>
    <w:rsid w:val="4EFD45B3"/>
    <w:rsid w:val="5043249A"/>
    <w:rsid w:val="54D538DD"/>
    <w:rsid w:val="559A7000"/>
    <w:rsid w:val="5600532A"/>
    <w:rsid w:val="56AD7BCE"/>
    <w:rsid w:val="57835872"/>
    <w:rsid w:val="59D979CB"/>
    <w:rsid w:val="5B7656F9"/>
    <w:rsid w:val="5D2E002E"/>
    <w:rsid w:val="5E483371"/>
    <w:rsid w:val="62C5129A"/>
    <w:rsid w:val="672108CE"/>
    <w:rsid w:val="699D602B"/>
    <w:rsid w:val="6A420FAF"/>
    <w:rsid w:val="6FF10634"/>
    <w:rsid w:val="714D4ACF"/>
    <w:rsid w:val="71681909"/>
    <w:rsid w:val="74403F6C"/>
    <w:rsid w:val="7454437F"/>
    <w:rsid w:val="76C75323"/>
    <w:rsid w:val="786407F3"/>
    <w:rsid w:val="7D4F6073"/>
    <w:rsid w:val="7DA43CC8"/>
    <w:rsid w:val="7E53749D"/>
    <w:rsid w:val="7FE02FB2"/>
    <w:rsid w:val="7FFF0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5"/>
    <w:autoRedefine/>
    <w:qFormat/>
    <w:uiPriority w:val="0"/>
    <w:pPr>
      <w:tabs>
        <w:tab w:val="left" w:pos="567"/>
      </w:tabs>
      <w:spacing w:before="120" w:line="22" w:lineRule="atLeast"/>
    </w:pPr>
    <w:rPr>
      <w:rFonts w:ascii="宋体" w:hAnsi="宋体"/>
      <w:sz w:val="24"/>
    </w:rPr>
  </w:style>
  <w:style w:type="paragraph" w:styleId="5">
    <w:name w:val="Body Text 2"/>
    <w:basedOn w:val="1"/>
    <w:autoRedefine/>
    <w:qFormat/>
    <w:uiPriority w:val="0"/>
    <w:pPr>
      <w:jc w:val="center"/>
    </w:pPr>
    <w:rPr>
      <w:b/>
      <w:bCs/>
      <w:sz w:val="72"/>
    </w:rPr>
  </w:style>
  <w:style w:type="paragraph" w:styleId="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2024-01-09T11:07:00Z</dcterms:created>
  <dc:creator>胡万明</dc:creator>
  <cp:lastModifiedBy>张勇</cp:lastModifiedBy>
  <dcterms:modified xsi:type="dcterms:W3CDTF">2024-01-15T04:01:35Z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0A72C9287DAB4C35A4C4C2726DFCD669_13</vt:lpwstr>
  </property>
</Properties>
</file>